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388CE" w14:textId="77777777" w:rsidR="00B72165" w:rsidRPr="006154D2" w:rsidRDefault="00B72165" w:rsidP="00705564">
      <w:pPr>
        <w:pStyle w:val="Titolo"/>
      </w:pPr>
      <w:r w:rsidRPr="006154D2">
        <w:t>Condivi</w:t>
      </w:r>
      <w:r>
        <w:t xml:space="preserve">dere </w:t>
      </w:r>
      <w:r w:rsidR="009F347F">
        <w:t xml:space="preserve">la </w:t>
      </w:r>
      <w:r w:rsidR="009F347F" w:rsidRPr="006154D2">
        <w:t xml:space="preserve">conoscenza </w:t>
      </w:r>
      <w:r>
        <w:t xml:space="preserve">per </w:t>
      </w:r>
      <w:r w:rsidR="009F347F">
        <w:t xml:space="preserve">far </w:t>
      </w:r>
      <w:r>
        <w:t xml:space="preserve">progredire </w:t>
      </w:r>
      <w:r w:rsidR="009F347F">
        <w:t>l’</w:t>
      </w:r>
      <w:r w:rsidRPr="006154D2">
        <w:t>archeologia: implicazioni organizzative e tecnologiche</w:t>
      </w:r>
    </w:p>
    <w:p w14:paraId="69D8D012" w14:textId="2F088A07" w:rsidR="00AC1B46" w:rsidRDefault="00AC1B46" w:rsidP="00C371D3">
      <w:pPr>
        <w:pStyle w:val="Autori"/>
        <w:ind w:firstLine="0"/>
      </w:pPr>
      <w:r w:rsidRPr="00AC1B46">
        <w:t>Alessio Maria Braccini, Università della T</w:t>
      </w:r>
      <w:r>
        <w:t>uscia (</w:t>
      </w:r>
      <w:r w:rsidRPr="00AC1B46">
        <w:t>abraccini@unitus.it</w:t>
      </w:r>
      <w:r>
        <w:t>)</w:t>
      </w:r>
      <w:r>
        <w:br/>
        <w:t xml:space="preserve">Tommaso Federici, </w:t>
      </w:r>
      <w:r w:rsidRPr="00AC1B46">
        <w:t>Università della T</w:t>
      </w:r>
      <w:r>
        <w:t>uscia (</w:t>
      </w:r>
      <w:r w:rsidR="00AE3E0B" w:rsidRPr="00807BA6">
        <w:t>tfederici@unitus.it)</w:t>
      </w:r>
      <w:bookmarkStart w:id="0" w:name="_GoBack"/>
      <w:bookmarkEnd w:id="0"/>
    </w:p>
    <w:p w14:paraId="102EB517" w14:textId="2F29FA56" w:rsidR="00AE3E0B" w:rsidRPr="00AC1B46" w:rsidRDefault="00AE3E0B" w:rsidP="00C371D3">
      <w:pPr>
        <w:pStyle w:val="Autori"/>
        <w:ind w:firstLine="0"/>
      </w:pPr>
      <w:r>
        <w:t>Versione preliminare, non per citazione. Articolo pubblicato su Prospettive in Organizzazione 2017 (</w:t>
      </w:r>
      <w:hyperlink r:id="rId6" w:history="1">
        <w:r w:rsidRPr="00AE3E0B">
          <w:rPr>
            <w:rStyle w:val="Collegamentoipertestuale"/>
          </w:rPr>
          <w:t>link alla versio</w:t>
        </w:r>
        <w:r w:rsidRPr="00AE3E0B">
          <w:rPr>
            <w:rStyle w:val="Collegamentoipertestuale"/>
          </w:rPr>
          <w:t>n</w:t>
        </w:r>
        <w:r w:rsidRPr="00AE3E0B">
          <w:rPr>
            <w:rStyle w:val="Collegamentoipertestuale"/>
          </w:rPr>
          <w:t>e originale</w:t>
        </w:r>
      </w:hyperlink>
      <w:r>
        <w:t>)</w:t>
      </w:r>
    </w:p>
    <w:p w14:paraId="0A4E3B4A" w14:textId="77777777" w:rsidR="00F953BE" w:rsidRPr="00133E57" w:rsidRDefault="00F953BE" w:rsidP="00133E57">
      <w:pPr>
        <w:ind w:firstLine="0"/>
        <w:rPr>
          <w:b/>
          <w:sz w:val="24"/>
        </w:rPr>
      </w:pPr>
      <w:proofErr w:type="spellStart"/>
      <w:r w:rsidRPr="00133E57">
        <w:rPr>
          <w:b/>
          <w:sz w:val="24"/>
        </w:rPr>
        <w:t>Abstract</w:t>
      </w:r>
      <w:proofErr w:type="spellEnd"/>
    </w:p>
    <w:p w14:paraId="764544F8" w14:textId="7E024EE2" w:rsidR="00F953BE" w:rsidRPr="00AC1B46" w:rsidRDefault="00AC1B46" w:rsidP="00705564">
      <w:pPr>
        <w:pStyle w:val="Abstracttesto"/>
      </w:pPr>
      <w:r w:rsidRPr="00AC1B46">
        <w:t xml:space="preserve">L’archeologia è un dominio ad alta </w:t>
      </w:r>
      <w:r>
        <w:t xml:space="preserve">intensità di conoscenza dove però fino ad oggi le </w:t>
      </w:r>
      <w:r w:rsidR="008F593D">
        <w:t xml:space="preserve">tecnologie per la gestione delle </w:t>
      </w:r>
      <w:r>
        <w:t xml:space="preserve">informazioni </w:t>
      </w:r>
      <w:r w:rsidR="008F593D">
        <w:t xml:space="preserve">sono </w:t>
      </w:r>
      <w:r w:rsidR="00133E57">
        <w:t xml:space="preserve">spesso </w:t>
      </w:r>
      <w:r w:rsidR="008F593D">
        <w:t xml:space="preserve">usate poco e </w:t>
      </w:r>
      <w:r>
        <w:t>con modalità che n</w:t>
      </w:r>
      <w:r w:rsidR="00185C46">
        <w:t xml:space="preserve">on </w:t>
      </w:r>
      <w:r w:rsidR="00133E57">
        <w:t xml:space="preserve">ne </w:t>
      </w:r>
      <w:r>
        <w:t>assicur</w:t>
      </w:r>
      <w:r w:rsidR="00185C46">
        <w:t>a</w:t>
      </w:r>
      <w:r>
        <w:t xml:space="preserve">no </w:t>
      </w:r>
      <w:r w:rsidR="00133E57">
        <w:t xml:space="preserve">la </w:t>
      </w:r>
      <w:r w:rsidR="008F593D">
        <w:t>conservazione</w:t>
      </w:r>
      <w:r w:rsidR="00185C46">
        <w:t>,</w:t>
      </w:r>
      <w:r w:rsidR="008F593D">
        <w:t xml:space="preserve"> condivisione</w:t>
      </w:r>
      <w:r w:rsidR="00185C46">
        <w:t xml:space="preserve"> e valorizzazione</w:t>
      </w:r>
      <w:r w:rsidR="008F593D">
        <w:t>. Tutto ciò rappresenta un serio ostacolo all’avanzamento della ricerca, e all</w:t>
      </w:r>
      <w:r>
        <w:t>a</w:t>
      </w:r>
      <w:r w:rsidR="008F593D">
        <w:t xml:space="preserve"> </w:t>
      </w:r>
      <w:r>
        <w:t>p</w:t>
      </w:r>
      <w:r w:rsidR="008F593D">
        <w:t xml:space="preserve">ossibilità </w:t>
      </w:r>
      <w:r w:rsidR="001320DB">
        <w:t xml:space="preserve">per l’archeologia </w:t>
      </w:r>
      <w:r w:rsidR="008F593D">
        <w:t>di ri</w:t>
      </w:r>
      <w:r w:rsidR="00185C46">
        <w:t>spondere alle domande più importanti.</w:t>
      </w:r>
    </w:p>
    <w:p w14:paraId="5A73DC0C" w14:textId="77777777" w:rsidR="00B16968" w:rsidRPr="00CF1DE6" w:rsidRDefault="00B16968" w:rsidP="00182BEB">
      <w:pPr>
        <w:pStyle w:val="Titolo1"/>
        <w:rPr>
          <w:sz w:val="22"/>
        </w:rPr>
      </w:pPr>
      <w:r w:rsidRPr="00CF1DE6">
        <w:t>Introduzione</w:t>
      </w:r>
    </w:p>
    <w:p w14:paraId="5062A9B2" w14:textId="262084E7" w:rsidR="00AA009F" w:rsidRPr="00AA009F" w:rsidRDefault="00AA009F" w:rsidP="00705564">
      <w:r w:rsidRPr="00AA009F">
        <w:t>L’archeologia, in quanto scienza, ha un ruolo importante nello studio dei processi di evoluzione della cultura e della civiltà umana. L</w:t>
      </w:r>
      <w:r w:rsidR="002D19B9">
        <w:t xml:space="preserve">a ricerca in </w:t>
      </w:r>
      <w:r w:rsidRPr="00AA009F">
        <w:t xml:space="preserve">archeologia dipende dalla </w:t>
      </w:r>
      <w:r w:rsidR="002D19B9">
        <w:t xml:space="preserve">disponibilità di </w:t>
      </w:r>
      <w:r w:rsidR="0048038A">
        <w:t xml:space="preserve">informazioni </w:t>
      </w:r>
      <w:r w:rsidRPr="00AA009F">
        <w:t xml:space="preserve">e dalla condivisione della conoscenza per </w:t>
      </w:r>
      <w:r w:rsidR="0048038A">
        <w:t>lo studio de</w:t>
      </w:r>
      <w:r w:rsidRPr="00AA009F">
        <w:t>ll’evoluzione dell</w:t>
      </w:r>
      <w:r w:rsidR="0048038A">
        <w:t>a</w:t>
      </w:r>
      <w:r w:rsidRPr="00AA009F">
        <w:t xml:space="preserve"> civiltà</w:t>
      </w:r>
      <w:r w:rsidR="0048038A">
        <w:t xml:space="preserve"> umana</w:t>
      </w:r>
      <w:r w:rsidRPr="00AA009F">
        <w:t xml:space="preserve">. Uno studio </w:t>
      </w:r>
      <w:r w:rsidR="00CD3917">
        <w:t xml:space="preserve">di </w:t>
      </w:r>
      <w:proofErr w:type="spellStart"/>
      <w:r w:rsidR="00CD3917">
        <w:t>Kintigh</w:t>
      </w:r>
      <w:proofErr w:type="spellEnd"/>
      <w:r w:rsidR="00750168" w:rsidRPr="00CC44AB">
        <w:rPr>
          <w:rFonts w:eastAsia="Times New Roman"/>
          <w:noProof/>
        </w:rPr>
        <w:t>, Altschul, Kinzig, Limp, Michener, Sabloff, Hackett, Kohler, Ludäscher</w:t>
      </w:r>
      <w:r w:rsidR="00750168">
        <w:rPr>
          <w:rFonts w:eastAsia="Times New Roman"/>
          <w:noProof/>
        </w:rPr>
        <w:t xml:space="preserve"> e</w:t>
      </w:r>
      <w:r w:rsidR="00750168" w:rsidRPr="00CC44AB">
        <w:rPr>
          <w:rFonts w:eastAsia="Times New Roman"/>
          <w:noProof/>
        </w:rPr>
        <w:t xml:space="preserve"> Lynch</w:t>
      </w:r>
      <w:r w:rsidR="00CD3917" w:rsidRPr="00750168">
        <w:t>,</w:t>
      </w:r>
      <w:r w:rsidR="00CD3917">
        <w:t xml:space="preserve"> </w:t>
      </w:r>
      <w:r w:rsidRPr="00AA009F">
        <w:t xml:space="preserve">pubblicato </w:t>
      </w:r>
      <w:r w:rsidR="00CD3917">
        <w:t xml:space="preserve">nel 2015 </w:t>
      </w:r>
      <w:r w:rsidRPr="00AA009F">
        <w:t xml:space="preserve">sul journal </w:t>
      </w:r>
      <w:proofErr w:type="spellStart"/>
      <w:r w:rsidRPr="00484D83">
        <w:rPr>
          <w:i/>
        </w:rPr>
        <w:t>Advances</w:t>
      </w:r>
      <w:proofErr w:type="spellEnd"/>
      <w:r w:rsidRPr="00484D83">
        <w:rPr>
          <w:i/>
        </w:rPr>
        <w:t xml:space="preserve"> in </w:t>
      </w:r>
      <w:proofErr w:type="spellStart"/>
      <w:r w:rsidRPr="00484D83">
        <w:rPr>
          <w:i/>
        </w:rPr>
        <w:t>Archaeological</w:t>
      </w:r>
      <w:proofErr w:type="spellEnd"/>
      <w:r w:rsidRPr="00484D83">
        <w:rPr>
          <w:i/>
        </w:rPr>
        <w:t xml:space="preserve"> </w:t>
      </w:r>
      <w:proofErr w:type="spellStart"/>
      <w:r w:rsidRPr="00484D83">
        <w:rPr>
          <w:i/>
        </w:rPr>
        <w:t>Practice</w:t>
      </w:r>
      <w:proofErr w:type="spellEnd"/>
      <w:r w:rsidRPr="00AA009F">
        <w:t xml:space="preserve">, mette in evidenza una serie di difficoltà che contrastano la possibilità dell’archeologia di generare conoscenza, </w:t>
      </w:r>
      <w:r w:rsidR="0048038A">
        <w:t>derivanti da</w:t>
      </w:r>
      <w:r w:rsidRPr="00AA009F">
        <w:t xml:space="preserve"> pratiche e strumenti che rendono difficile la condivisione </w:t>
      </w:r>
      <w:r w:rsidR="0048038A">
        <w:t>di dati e informazion</w:t>
      </w:r>
      <w:r w:rsidR="00860B7A">
        <w:t>i</w:t>
      </w:r>
      <w:r w:rsidRPr="00AA009F">
        <w:t xml:space="preserve"> tra le diverse comunità di archeologi </w:t>
      </w:r>
      <w:r w:rsidR="008C6C51">
        <w:fldChar w:fldCharType="begin" w:fldLock="1"/>
      </w:r>
      <w:r w:rsidR="001616B0">
        <w:instrText>ADDIN CSL_CITATION { "citationItems" : [ { "id" : "ITEM-1", "itemData" : { "DOI" : "10.7183/2326-3768.3.1.1", "ISSN" : "2326-3768", "abstract" : "Archaeological data and research results are essential to addressing such fundamental questions as the origins of human culture; the origin, waxing, and waning of civilizations and cities; the response of societies to long-term climate changes; and the systemic relationships implicated in human-induced changes in the environment. However, we lack the capacity for acquiring, managing, analyzing, and synthesizing the data sets needed to address important questions such as these. We propose investments in computational infrastructure that would transform archaeology\u2019s ability to advance research on the field\u2019s most compelling questions with an evidential base and inferential rigor that have heretofore been impossible. At the same time, new infrastructure would make archaeological data accessible to researchers in other disciplines. We offer recommendations regarding data management and availability, cyberinfrastructure tool building, and social and cultural changes in the discipline. We propose funding synthetic case studies that would demonstrate archaeology\u2019s ability to contribute to transdisciplinary research on long-term social dynamics and serve as a context for developing computational tools and analytical workflows that will be necessary to attack these questions. The case studies would explore how emerging research in computer science could empower this research and would simultaneously provide productive challenges for computer science research.", "author" : [ { "dropping-particle" : "", "family" : "Kintigh", "given" : "Keith W.", "non-dropping-particle" : "", "parse-names" : false, "suffix" : "" }, { "dropping-particle" : "", "family" : "Altschul", "given" : "Jeffrey H.", "non-dropping-particle" : "", "parse-names" : false, "suffix" : "" }, { "dropping-particle" : "", "family" : "Kinzig", "given" : "Ann P.", "non-dropping-particle" : "", "parse-names" : false, "suffix" : "" }, { "dropping-particle" : "", "family" : "Limp", "given" : "W.Fredrick", "non-dropping-particle" : "", "parse-names" : false, "suffix" : "" }, { "dropping-particle" : "", "family" : "Michener", "given" : "William K.", "non-dropping-particle" : "", "parse-names" : false, "suffix" : "" }, { "dropping-particle" : "", "family" : "Sabloff", "given" : "Jeremy A.", "non-dropping-particle" : "", "parse-names" : false, "suffix" : "" }, { "dropping-particle" : "", "family" : "Hackett", "given" : "Edward J.", "non-dropping-particle" : "", "parse-names" : false, "suffix" : "" }, { "dropping-particle" : "", "family" : "Kohler", "given" : "Timothy A.", "non-dropping-particle" : "", "parse-names" : false, "suffix" : "" }, { "dropping-particle" : "", "family" : "Lud\u00e4scher", "given" : "Bertram", "non-dropping-particle" : "", "parse-names" : false, "suffix" : "" }, { "dropping-particle" : "", "family" : "Lynch", "given" : "Clifford A.", "non-dropping-particle" : "", "parse-names" : false, "suffix" : "" } ], "container-title" : "Advances in Archaeological Practice", "id" : "ITEM-1", "issue" : "01", "issued" : { "date-parts" : [ [ "2015", "2", "16" ] ] }, "page" : "1-15", "title" : "Cultural Dynamics, Deep Time, and Data", "type" : "article-journal", "volume" : "3" }, "uris" : [ "http://www.mendeley.com/documents/?uuid=458fafda-d543-4fea-9127-4f2d6873ace0" ] } ], "mendeley" : { "formattedCitation" : "(Kintigh et al. 2015)", "plainTextFormattedCitation" : "(Kintigh et al. 2015)", "previouslyFormattedCitation" : "[1]" }, "properties" : { "noteIndex" : 1 }, "schema" : "https://github.com/citation-style-language/schema/raw/master/csl-citation.json" }</w:instrText>
      </w:r>
      <w:r w:rsidR="008C6C51">
        <w:fldChar w:fldCharType="separate"/>
      </w:r>
      <w:r w:rsidR="001616B0" w:rsidRPr="001616B0">
        <w:rPr>
          <w:noProof/>
        </w:rPr>
        <w:t>(Kintigh et al. 2015)</w:t>
      </w:r>
      <w:r w:rsidR="008C6C51">
        <w:fldChar w:fldCharType="end"/>
      </w:r>
      <w:r w:rsidRPr="00AA009F">
        <w:t xml:space="preserve">. </w:t>
      </w:r>
    </w:p>
    <w:p w14:paraId="245EF16F" w14:textId="39992ACA" w:rsidR="00577FC6" w:rsidRPr="002D19B9" w:rsidRDefault="00AA009F" w:rsidP="00705564">
      <w:r w:rsidRPr="00AA009F">
        <w:t>Dati ed informazion</w:t>
      </w:r>
      <w:r w:rsidR="00860B7A">
        <w:t>i</w:t>
      </w:r>
      <w:r w:rsidRPr="00AA009F">
        <w:t xml:space="preserve"> sui reperti archeologici sono di vitale importanza per la generazione della conoscenza in archeologia. </w:t>
      </w:r>
      <w:r w:rsidRPr="00577FC6">
        <w:t xml:space="preserve">Per il solo fatto di essere scoperto in una specifica area, profondità, e in prossimità di altri oggetti, un reperto archeologico possiede un grande potenziale in termine di </w:t>
      </w:r>
      <w:r w:rsidR="001320DB">
        <w:t xml:space="preserve">contributo alla </w:t>
      </w:r>
      <w:r w:rsidRPr="00577FC6">
        <w:t>conoscenza anche nel caso in cui non sia possibile risalire alla forma o alla funzione originale dello stesso</w:t>
      </w:r>
      <w:r w:rsidR="00577FC6">
        <w:t>.</w:t>
      </w:r>
      <w:r w:rsidRPr="00AA009F">
        <w:t xml:space="preserve"> </w:t>
      </w:r>
      <w:r w:rsidR="00577FC6" w:rsidRPr="00577FC6">
        <w:t xml:space="preserve">Ad esempio, la scoperta di un gruppo di </w:t>
      </w:r>
      <w:r w:rsidR="00577FC6" w:rsidRPr="00577FC6">
        <w:lastRenderedPageBreak/>
        <w:t>frammenti di bucchero (ceramica etrusca nera) in una specifica zona del</w:t>
      </w:r>
      <w:r w:rsidR="00577FC6">
        <w:t xml:space="preserve"> nord Italia</w:t>
      </w:r>
      <w:r w:rsidR="002D19B9">
        <w:t xml:space="preserve"> accanto a reperti del V secolo a.C.,</w:t>
      </w:r>
      <w:r w:rsidR="00577FC6">
        <w:t xml:space="preserve"> anche se non si può identificare l’oggetto a cui appartenevano, </w:t>
      </w:r>
      <w:r w:rsidR="002D19B9">
        <w:t>testimonia l’esistenza di una qualche relazione tra quell’area e l’Etruria in quel periodo.</w:t>
      </w:r>
    </w:p>
    <w:p w14:paraId="7414F6E4" w14:textId="3CA60E20" w:rsidR="00AA009F" w:rsidRPr="00AA009F" w:rsidRDefault="00AA009F" w:rsidP="00705564">
      <w:r w:rsidRPr="00AA009F">
        <w:t xml:space="preserve">Ogni evento – restauro, studio, mostra – che il reperto attraversa può poi generare ulteriore conoscenza sullo stesso </w:t>
      </w:r>
      <w:r w:rsidR="0048038A">
        <w:t xml:space="preserve">reperto </w:t>
      </w:r>
      <w:r w:rsidRPr="00AA009F">
        <w:t>e sul suo contesto. Ad esempio, la scoperta di una parte di un meccanismo ad ingranaggi</w:t>
      </w:r>
      <w:r w:rsidR="0048038A">
        <w:t xml:space="preserve"> datato tra l’anno 80 e 50 </w:t>
      </w:r>
      <w:r w:rsidR="00750168">
        <w:t>a</w:t>
      </w:r>
      <w:r w:rsidR="0048038A">
        <w:t>.C.</w:t>
      </w:r>
      <w:r w:rsidRPr="00AA009F">
        <w:t xml:space="preserve"> fatta da pescatori nelle vicinanze dell’isola di </w:t>
      </w:r>
      <w:proofErr w:type="spellStart"/>
      <w:r w:rsidRPr="00AA009F">
        <w:t>Antikythera</w:t>
      </w:r>
      <w:proofErr w:type="spellEnd"/>
      <w:r w:rsidRPr="00AA009F">
        <w:t xml:space="preserve"> nel 1900</w:t>
      </w:r>
      <w:r w:rsidR="0048038A">
        <w:t xml:space="preserve"> </w:t>
      </w:r>
      <w:r w:rsidRPr="00AA009F">
        <w:t>ha contribuito a retrodatare dal medioevo al periodo dell’antica Grecia la conoscenza relativa alla costruzione di macchine calcolat</w:t>
      </w:r>
      <w:r w:rsidR="00860B7A">
        <w:t>rici</w:t>
      </w:r>
      <w:r w:rsidRPr="00AA009F">
        <w:t xml:space="preserve">. </w:t>
      </w:r>
      <w:r w:rsidR="00CD3917">
        <w:t xml:space="preserve">Tale risultato è stato possibile grazie allo scambio di conoscenza tra i tanti ricercatori che hanno studiato il reperto, anche se di fatto questo costituiva solo una frazione dell’oggetto originale </w:t>
      </w:r>
      <w:r w:rsidR="007B31DC">
        <w:fldChar w:fldCharType="begin" w:fldLock="1"/>
      </w:r>
      <w:r w:rsidR="001616B0">
        <w:instrText>ADDIN CSL_CITATION { "citationItems" : [ { "id" : "ITEM-1", "itemData" : { "author" : [ { "dropping-particle" : "", "family" : "Solla Price", "given" : "D", "non-dropping-particle" : "De", "parse-names" : false, "suffix" : "" } ], "id" : "ITEM-1", "issued" : { "date-parts" : [ [ "1975" ] ] }, "publisher" : "Science History", "publisher-place" : "New York", "title" : "Gears from the Greeks: the Antikythera Mechanism: A Calendar Computer from ca. 89 BC", "type" : "book" }, "uris" : [ "http://www.mendeley.com/documents/?uuid=3fbf76a8-fdb2-4913-80aa-312035af0d37" ] }, { "id" : "ITEM-2", "itemData" : { "author" : [ { "dropping-particle" : "", "family" : "Edmunds", "given" : "M. G.", "non-dropping-particle" : "", "parse-names" : false, "suffix" : "" }, { "dropping-particle" : "", "family" : "Morgan", "given" : "P.", "non-dropping-particle" : "", "parse-names" : false, "suffix" : "" } ], "container-title" : "Astronomy &amp; Geophysics", "id" : "ITEM-2", "issue" : "6", "issued" : { "date-parts" : [ [ "2000" ] ] }, "page" : "6.10-6.17", "title" : "The Antikythera mechanism: Still a mystery of Greek astronomy?", "type" : "article-journal", "volume" : "41" }, "uris" : [ "http://www.mendeley.com/documents/?uuid=3dba66b9-2c00-42c4-9644-205a1fa8b2fb" ] } ], "mendeley" : { "formattedCitation" : "(Edmunds and Morgan 2000; De Solla Price 1975)", "plainTextFormattedCitation" : "(Edmunds and Morgan 2000; De Solla Price 1975)", "previouslyFormattedCitation" : "[2, 3]" }, "properties" : { "noteIndex" : 2 }, "schema" : "https://github.com/citation-style-language/schema/raw/master/csl-citation.json" }</w:instrText>
      </w:r>
      <w:r w:rsidR="007B31DC">
        <w:fldChar w:fldCharType="separate"/>
      </w:r>
      <w:r w:rsidR="001616B0" w:rsidRPr="001616B0">
        <w:rPr>
          <w:noProof/>
        </w:rPr>
        <w:t>(Edmunds and Morgan 2000; De Solla Price 1975)</w:t>
      </w:r>
      <w:r w:rsidR="007B31DC">
        <w:fldChar w:fldCharType="end"/>
      </w:r>
      <w:r w:rsidRPr="00AA009F">
        <w:t xml:space="preserve">. </w:t>
      </w:r>
    </w:p>
    <w:p w14:paraId="635071E0" w14:textId="42E74D23" w:rsidR="00AA009F" w:rsidRPr="00AA009F" w:rsidRDefault="00AA009F" w:rsidP="00705564">
      <w:r w:rsidRPr="00AA009F">
        <w:t xml:space="preserve">Le pratiche </w:t>
      </w:r>
      <w:r w:rsidR="00CD3917">
        <w:t>e gli strumenti per la condivisione della conoscenza sono cruciali</w:t>
      </w:r>
      <w:r w:rsidRPr="00AA009F">
        <w:t xml:space="preserve"> per permettere all’archeologia di generare conoscenza su domande fondamentali circa l’umanità e lo sviluppo delle culture</w:t>
      </w:r>
      <w:r w:rsidR="00B07514">
        <w:t>, e di contribuire anche allo sviluppo di altre discipline</w:t>
      </w:r>
      <w:r w:rsidRPr="00AA009F">
        <w:t xml:space="preserve">. </w:t>
      </w:r>
      <w:r w:rsidR="00CD3917">
        <w:t xml:space="preserve">Lo studio </w:t>
      </w:r>
      <w:r w:rsidR="00B07514">
        <w:t xml:space="preserve">mette in evidenza una serie di possibili domande </w:t>
      </w:r>
      <w:r w:rsidRPr="00AA009F">
        <w:t xml:space="preserve">alle quali sarebbe possibile rispondere se fossero superate </w:t>
      </w:r>
      <w:r w:rsidR="00B07514">
        <w:t>queste difficoltà.</w:t>
      </w:r>
    </w:p>
    <w:p w14:paraId="202D91B1" w14:textId="6535AC93" w:rsidR="00AA009F" w:rsidRPr="00AA009F" w:rsidRDefault="00AA009F" w:rsidP="00705564">
      <w:r w:rsidRPr="00AA009F">
        <w:t xml:space="preserve">Perché le comunità sociali di piccole dimensioni crescono dal punto di vista spaziale e demografico in strutture organizzative più complesse? </w:t>
      </w:r>
      <w:r w:rsidR="00484D83">
        <w:t>Tale</w:t>
      </w:r>
      <w:r w:rsidRPr="00AA009F">
        <w:t xml:space="preserve"> problema di complessità organizzativa è stato affrontato in numerosi studi</w:t>
      </w:r>
      <w:r w:rsidR="00750168">
        <w:t xml:space="preserve"> che, a diversi livelli, </w:t>
      </w:r>
      <w:r w:rsidRPr="00AA009F">
        <w:t>hanno tentato di formulare modelli di dipendenza dalle risorse</w:t>
      </w:r>
      <w:r w:rsidR="00750168">
        <w:t>,</w:t>
      </w:r>
      <w:r w:rsidRPr="00AA009F">
        <w:t xml:space="preserve"> </w:t>
      </w:r>
      <w:r w:rsidR="00484D83">
        <w:t>spiegando lo</w:t>
      </w:r>
      <w:r w:rsidRPr="00AA009F">
        <w:t xml:space="preserve"> sviluppo di contesti organizzativi e sociali </w:t>
      </w:r>
      <w:r w:rsidR="00484D83">
        <w:t>come tentativo di</w:t>
      </w:r>
      <w:r w:rsidRPr="00AA009F">
        <w:t xml:space="preserve"> riduzione della dipendenza da tali risorse. </w:t>
      </w:r>
      <w:r w:rsidR="00750168">
        <w:t>Questi</w:t>
      </w:r>
      <w:r w:rsidRPr="00AA009F">
        <w:t xml:space="preserve"> studi rimangono però esperienze distinte</w:t>
      </w:r>
      <w:r w:rsidR="00860B7A">
        <w:t>,</w:t>
      </w:r>
      <w:r w:rsidRPr="00AA009F">
        <w:t xml:space="preserve"> che difficilmente avranno un</w:t>
      </w:r>
      <w:r w:rsidR="00750168">
        <w:t>’</w:t>
      </w:r>
      <w:r w:rsidRPr="00AA009F">
        <w:t>occasione di sintesi</w:t>
      </w:r>
      <w:r w:rsidR="00860B7A">
        <w:t>,</w:t>
      </w:r>
      <w:r w:rsidRPr="00AA009F">
        <w:t xml:space="preserve"> mentre un approccio integrato e comparativo permetterebbe di generare ulteriore conoscenza su percorsi teorici che spiegano l’accrescimento della complessità organizzativa nel tempo.</w:t>
      </w:r>
    </w:p>
    <w:p w14:paraId="0F3AFBAF" w14:textId="1653FAEB" w:rsidR="00AA009F" w:rsidRPr="00AA009F" w:rsidRDefault="00AA009F" w:rsidP="00705564">
      <w:r w:rsidRPr="00AA009F">
        <w:t xml:space="preserve">Come le persone e le comunità percepiscono e reagiscono </w:t>
      </w:r>
      <w:r w:rsidR="00750168">
        <w:t>a</w:t>
      </w:r>
      <w:r w:rsidRPr="00AA009F">
        <w:t>i cambiamenti climatici nel medio e nel lungo termine? Esiste</w:t>
      </w:r>
      <w:r w:rsidR="00750168">
        <w:t>,</w:t>
      </w:r>
      <w:r w:rsidR="00750168" w:rsidRPr="00750168">
        <w:t xml:space="preserve"> </w:t>
      </w:r>
      <w:r w:rsidR="00750168" w:rsidRPr="00AA009F">
        <w:t>sotto forma di numerosi casi di studio</w:t>
      </w:r>
      <w:r w:rsidR="00750168">
        <w:t>,</w:t>
      </w:r>
      <w:r w:rsidRPr="00AA009F">
        <w:t xml:space="preserve"> un</w:t>
      </w:r>
      <w:r w:rsidR="00750168">
        <w:t>’</w:t>
      </w:r>
      <w:r w:rsidRPr="00AA009F">
        <w:t xml:space="preserve">ampia documentazione dei cambiamenti sociali come risposta a mutamenti climatici di breve o lungo periodo. </w:t>
      </w:r>
      <w:r w:rsidR="00B07514">
        <w:t>Si tratta di analisi</w:t>
      </w:r>
      <w:r w:rsidRPr="00AA009F">
        <w:t xml:space="preserve"> sempre ex-post, con interpretazioni anche persuasive, ma con grosse difficoltà </w:t>
      </w:r>
      <w:r w:rsidR="00750168">
        <w:t>nell’</w:t>
      </w:r>
      <w:r w:rsidRPr="00AA009F">
        <w:t xml:space="preserve">identificare correlazioni e generalizzazioni applicabili a contesti diversi da quelli del </w:t>
      </w:r>
      <w:r w:rsidR="00B07514">
        <w:t xml:space="preserve">singolo </w:t>
      </w:r>
      <w:r w:rsidRPr="00AA009F">
        <w:t>caso.</w:t>
      </w:r>
    </w:p>
    <w:p w14:paraId="64D62DE2" w14:textId="2ECDC5EA" w:rsidR="00AA009F" w:rsidRPr="00AA009F" w:rsidRDefault="00AA009F" w:rsidP="00705564">
      <w:r w:rsidRPr="00AA009F">
        <w:t>Come evolve l’organizzazione dei processi di urbanizzazione e come reagiscono le dinamiche sociali e demografiche? La città è una forma di organizzazione della società che ha avuto origine più di 5.000 anni fa</w:t>
      </w:r>
      <w:r w:rsidR="00994139">
        <w:t>,</w:t>
      </w:r>
      <w:r w:rsidRPr="00AA009F">
        <w:t xml:space="preserve"> e oggi più del 50% della popolazione vive in contesti urbani, con un trend in continuo aumento. Gli archeologi possono fornire dei modelli predittivi che spiegano l’evoluzione delle moderne città</w:t>
      </w:r>
      <w:r w:rsidR="00994139">
        <w:t>,</w:t>
      </w:r>
      <w:r w:rsidRPr="00AA009F">
        <w:t xml:space="preserve"> ma un risultato </w:t>
      </w:r>
      <w:r w:rsidR="00994139">
        <w:t xml:space="preserve">più avanzato </w:t>
      </w:r>
      <w:r w:rsidRPr="00AA009F">
        <w:t>in termin</w:t>
      </w:r>
      <w:r w:rsidR="00994139">
        <w:t>i</w:t>
      </w:r>
      <w:r w:rsidRPr="00AA009F">
        <w:t xml:space="preserve"> di conoscenza può derivare solo dallo studio comparato e dalla simulazione di contesti urbani diversi</w:t>
      </w:r>
      <w:r w:rsidR="00994139">
        <w:t>,</w:t>
      </w:r>
      <w:r w:rsidRPr="00AA009F">
        <w:t xml:space="preserve"> combinando variabili quali</w:t>
      </w:r>
      <w:r w:rsidR="00750168">
        <w:t>:</w:t>
      </w:r>
      <w:r w:rsidRPr="00AA009F">
        <w:t xml:space="preserve"> tempo, popolazione, area geografica, infrastrutture, risorse, clima e ambiente. </w:t>
      </w:r>
    </w:p>
    <w:p w14:paraId="07AB119E" w14:textId="23462ED2" w:rsidR="00AA009F" w:rsidRDefault="00AA009F" w:rsidP="00705564">
      <w:r w:rsidRPr="00AA009F">
        <w:t xml:space="preserve">Oltre alle pratiche di condivisione della conoscenza, anche gli strumenti a supporto </w:t>
      </w:r>
      <w:r w:rsidR="00994139">
        <w:t>della condivisione d</w:t>
      </w:r>
      <w:r w:rsidRPr="00AA009F">
        <w:t xml:space="preserve">i dati e informazioni, e le strutture organizzative e gli approcci alla pratica presenti in archeologia hanno un loro ruolo nelle difficoltà </w:t>
      </w:r>
      <w:r w:rsidRPr="00AA009F">
        <w:lastRenderedPageBreak/>
        <w:t xml:space="preserve">attuali </w:t>
      </w:r>
      <w:r w:rsidR="007B31DC">
        <w:fldChar w:fldCharType="begin" w:fldLock="1"/>
      </w:r>
      <w:r w:rsidR="001616B0">
        <w:instrText>ADDIN CSL_CITATION { "citationItems" : [ { "id" : "ITEM-1", "itemData" : { "DOI" : "10.1108/03055721011050659", "author" : [ { "dropping-particle" : "", "family" : "Braccini", "given" : "Alessio Maria", "non-dropping-particle" : "", "parse-names" : false, "suffix" : "" }, { "dropping-particle" : "", "family" : "Federici", "given" : "Tommaso", "non-dropping-particle" : "", "parse-names" : false, "suffix" : "" } ], "container-title" : "VINE: The Journal of Information and Knowledge Management Systems", "id" : "ITEM-1", "issue" : "2", "issued" : { "date-parts" : [ [ "2010" ] ] }, "page" : "136-152", "title" : "An IS for Archaeological Finds Management as a Platform for Knowledge Management: The ArcheoTRAC Case", "type" : "article-journal", "volume" : "40" }, "uris" : [ "http://www.mendeley.com/documents/?uuid=ba679ffb-55f7-4748-ab34-74698d64b3ae" ] }, { "id" : "ITEM-2", "itemData" : { "DOI" : "10.4018/jcit.2012010103", "author" : [ { "dropping-particle" : "", "family" : "Federici", "given" : "Tommaso", "non-dropping-particle" : "", "parse-names" : false, "suffix" : "" }, { "dropping-particle" : "", "family" : "Braccini", "given" : "Alessio Maria", "non-dropping-particle" : "", "parse-names" : false, "suffix" : "" } ], "container-title" : "Journal of Cases on Information and Technology", "id" : "ITEM-2", "issue" : "1", "issued" : { "date-parts" : [ [ "2012" ] ] }, "page" : "26-45", "title" : "The Interplay Between Practitioners and Technological Experts in the Design Process of an IS in Archaeology", "type" : "article-journal", "volume" : "14" }, "uris" : [ "http://www.mendeley.com/documents/?uuid=62585d64-f296-4d94-a4b3-d19d1dd4fe0a" ] } ], "mendeley" : { "formattedCitation" : "(Braccini and Federici 2010; Federici and Braccini 2012)", "plainTextFormattedCitation" : "(Braccini and Federici 2010; Federici and Braccini 2012)", "previouslyFormattedCitation" : "[4, 5]" }, "properties" : { "noteIndex" : 2 }, "schema" : "https://github.com/citation-style-language/schema/raw/master/csl-citation.json" }</w:instrText>
      </w:r>
      <w:r w:rsidR="007B31DC">
        <w:fldChar w:fldCharType="separate"/>
      </w:r>
      <w:r w:rsidR="001616B0" w:rsidRPr="001616B0">
        <w:rPr>
          <w:noProof/>
        </w:rPr>
        <w:t>(Braccini and Federici 2010; Federici and Braccini 2012)</w:t>
      </w:r>
      <w:r w:rsidR="007B31DC">
        <w:fldChar w:fldCharType="end"/>
      </w:r>
      <w:r w:rsidRPr="00AA009F">
        <w:t>.</w:t>
      </w:r>
    </w:p>
    <w:p w14:paraId="48CF9E0F" w14:textId="32B2D8D7" w:rsidR="00B16968" w:rsidRPr="00B16968" w:rsidRDefault="00994139" w:rsidP="00182BEB">
      <w:pPr>
        <w:pStyle w:val="Titolo1"/>
      </w:pPr>
      <w:r w:rsidRPr="00182BEB">
        <w:t>Requisiti</w:t>
      </w:r>
      <w:r w:rsidR="00B16968" w:rsidRPr="00B16968">
        <w:t xml:space="preserve"> </w:t>
      </w:r>
      <w:r w:rsidR="00182BEB">
        <w:t xml:space="preserve">fondamentali </w:t>
      </w:r>
      <w:r w:rsidR="00B16968" w:rsidRPr="00B16968">
        <w:t>per la condivisione della conoscenza in archeologia</w:t>
      </w:r>
    </w:p>
    <w:p w14:paraId="5FEF801C" w14:textId="78B33B31" w:rsidR="00AA009F" w:rsidRPr="00AA009F" w:rsidRDefault="00AA009F" w:rsidP="00705564">
      <w:r w:rsidRPr="00AA009F">
        <w:t xml:space="preserve">Quali sono </w:t>
      </w:r>
      <w:r w:rsidR="00994139">
        <w:t xml:space="preserve">i </w:t>
      </w:r>
      <w:r w:rsidR="00994139" w:rsidRPr="00AA009F">
        <w:t xml:space="preserve">principali </w:t>
      </w:r>
      <w:r w:rsidR="00994139">
        <w:t>requisiti</w:t>
      </w:r>
      <w:r w:rsidRPr="00AA009F">
        <w:t xml:space="preserve"> per la condivisione della conoscenza in archeologia? Lo studio di </w:t>
      </w:r>
      <w:proofErr w:type="spellStart"/>
      <w:r w:rsidRPr="00AA009F">
        <w:t>Kintigh</w:t>
      </w:r>
      <w:proofErr w:type="spellEnd"/>
      <w:r w:rsidRPr="00AA009F">
        <w:t xml:space="preserve"> </w:t>
      </w:r>
      <w:r w:rsidRPr="00750168">
        <w:rPr>
          <w:i/>
        </w:rPr>
        <w:t>et al.</w:t>
      </w:r>
      <w:r w:rsidRPr="00AA009F">
        <w:t xml:space="preserve"> ne mette in evidenza tre: la sintesi, il cambiamento delle pratiche di studio, e la disponibilità di una cyber-infrastruttura. </w:t>
      </w:r>
    </w:p>
    <w:p w14:paraId="0212AA23" w14:textId="2C6B9086" w:rsidR="00AA009F" w:rsidRPr="00AA009F" w:rsidRDefault="00AA009F" w:rsidP="00705564">
      <w:r w:rsidRPr="00AA009F">
        <w:t xml:space="preserve">Lo studio dell’evoluzione della cultura umana richiede la raccolta, </w:t>
      </w:r>
      <w:r w:rsidR="0051544A">
        <w:t>l’</w:t>
      </w:r>
      <w:r w:rsidRPr="00AA009F">
        <w:t xml:space="preserve">analisi e </w:t>
      </w:r>
      <w:r w:rsidR="0051544A">
        <w:t xml:space="preserve">la </w:t>
      </w:r>
      <w:r w:rsidRPr="00AA009F">
        <w:t xml:space="preserve">sintesi di grandi quantità di dati. Se nella prima metà del XX secolo era ancora possibile per singoli ricercatori padroneggiare una vasta area della letteratura scientifica in archeologia, l’esplosione dimensionale dei dati prodotti dalla ricerca negli ultimi 40 anni ha reso di fatto impossibile per i singoli seguire le diverse traiettorie di ricerca. </w:t>
      </w:r>
      <w:r w:rsidR="0051544A">
        <w:t>Le nuove tecnologie hanno</w:t>
      </w:r>
      <w:r w:rsidRPr="00AA009F">
        <w:t xml:space="preserve"> spinto gli archeologi a raccogliere sempre maggiori quantità di dati. Anziché espandere la significatività degli studi</w:t>
      </w:r>
      <w:r w:rsidR="0051544A">
        <w:t>, questo</w:t>
      </w:r>
      <w:r w:rsidRPr="00AA009F">
        <w:t xml:space="preserve"> ha contribuito ad una </w:t>
      </w:r>
      <w:proofErr w:type="spellStart"/>
      <w:r w:rsidRPr="00AA009F">
        <w:t>iper</w:t>
      </w:r>
      <w:proofErr w:type="spellEnd"/>
      <w:r w:rsidRPr="00AA009F">
        <w:t xml:space="preserve">-focalizzazione delle domande di ricerca su ambiti locali. </w:t>
      </w:r>
      <w:r w:rsidR="008369B6">
        <w:t>M</w:t>
      </w:r>
      <w:r w:rsidRPr="00AA009F">
        <w:t>entre</w:t>
      </w:r>
      <w:r w:rsidR="008369B6">
        <w:t>,</w:t>
      </w:r>
      <w:r w:rsidRPr="00AA009F">
        <w:t xml:space="preserve"> </w:t>
      </w:r>
      <w:r w:rsidR="008369B6">
        <w:t>q</w:t>
      </w:r>
      <w:r w:rsidR="008369B6" w:rsidRPr="00AA009F">
        <w:t>uindi</w:t>
      </w:r>
      <w:r w:rsidR="008369B6">
        <w:t>,</w:t>
      </w:r>
      <w:r w:rsidR="008369B6" w:rsidRPr="00AA009F">
        <w:t xml:space="preserve"> </w:t>
      </w:r>
      <w:r w:rsidRPr="00AA009F">
        <w:t>esistono grandi quantità di dati, la capacità di sintesi della conoscenza è ostacolata dall’assenza di capacità di individuazione, acquisizione, manipolazione, analisi e visualizzazione d</w:t>
      </w:r>
      <w:r w:rsidR="008369B6">
        <w:t>ei</w:t>
      </w:r>
      <w:r w:rsidRPr="00AA009F">
        <w:t xml:space="preserve"> dati</w:t>
      </w:r>
      <w:r w:rsidR="0051544A">
        <w:t xml:space="preserve"> stessi</w:t>
      </w:r>
      <w:r w:rsidRPr="00AA009F">
        <w:t>.</w:t>
      </w:r>
    </w:p>
    <w:p w14:paraId="7DB27CC7" w14:textId="54A81B71" w:rsidR="00AA009F" w:rsidRPr="00AA009F" w:rsidRDefault="00AA009F" w:rsidP="00705564">
      <w:r w:rsidRPr="00AA009F">
        <w:t xml:space="preserve">Se </w:t>
      </w:r>
      <w:r w:rsidR="0051544A">
        <w:t>le difficoltà di gestione di questi dati influenzano</w:t>
      </w:r>
      <w:r w:rsidRPr="00AA009F">
        <w:t xml:space="preserve"> le traiettorie di ricerca in archeologia, la disponibilità di infrastrutture – tuttora inesistenti – per il trattamento </w:t>
      </w:r>
      <w:r w:rsidR="0051544A">
        <w:t>degli stessi</w:t>
      </w:r>
      <w:r w:rsidRPr="00AA009F">
        <w:t xml:space="preserve"> potrebbe </w:t>
      </w:r>
      <w:r w:rsidR="0051544A">
        <w:t>costituire una soluzione</w:t>
      </w:r>
      <w:r w:rsidRPr="00AA009F">
        <w:t xml:space="preserve">. </w:t>
      </w:r>
      <w:r w:rsidR="00484D83">
        <w:t>L’uso di u</w:t>
      </w:r>
      <w:r w:rsidRPr="00AA009F">
        <w:t>na infrastruttura di ricerca per il trattamento dei dati e</w:t>
      </w:r>
      <w:r w:rsidR="00840330">
        <w:t xml:space="preserve"> delle</w:t>
      </w:r>
      <w:r w:rsidRPr="00AA009F">
        <w:t xml:space="preserve"> informazioni in archeologia potrebbe</w:t>
      </w:r>
      <w:r w:rsidR="00840330">
        <w:t>,</w:t>
      </w:r>
      <w:r w:rsidRPr="00AA009F">
        <w:t xml:space="preserve"> in primo luogo</w:t>
      </w:r>
      <w:r w:rsidR="00840330">
        <w:t>,</w:t>
      </w:r>
      <w:r w:rsidRPr="00AA009F">
        <w:t xml:space="preserve"> consentire agli archeologi di analizzare dati </w:t>
      </w:r>
      <w:r w:rsidR="008369B6">
        <w:t>d</w:t>
      </w:r>
      <w:r w:rsidRPr="00AA009F">
        <w:t xml:space="preserve">el passato in una maniera diversa rispetto a quella </w:t>
      </w:r>
      <w:r w:rsidR="008369B6">
        <w:t>a</w:t>
      </w:r>
      <w:r w:rsidRPr="00AA009F">
        <w:t>lla quale sono abituati. In secondo luogo</w:t>
      </w:r>
      <w:r w:rsidR="00840330">
        <w:t>,</w:t>
      </w:r>
      <w:r w:rsidRPr="00AA009F">
        <w:t xml:space="preserve"> potrebbe anche contribuire a rendere la conoscenza generata accessibile ad altre discipline </w:t>
      </w:r>
      <w:r w:rsidR="0051544A">
        <w:t>(es: biologia, geografia, economia).</w:t>
      </w:r>
    </w:p>
    <w:p w14:paraId="4369D49B" w14:textId="37BE7378" w:rsidR="00CF1DE6" w:rsidRPr="00C75445" w:rsidRDefault="00AA009F" w:rsidP="00705564">
      <w:r w:rsidRPr="00AA009F">
        <w:t>In ultimo, dal momento che le cyber-infrastrutture offrono sempre nuove opportunità di raccolta, memorizzazione e trasformazione dei dati, gli archeologi potrebbero sfruttare le possibilità per l’integrazione e la sintesi delle grandi font</w:t>
      </w:r>
      <w:r w:rsidR="008369B6">
        <w:t>i</w:t>
      </w:r>
      <w:r w:rsidRPr="00AA009F">
        <w:t xml:space="preserve"> di dati già disponibili</w:t>
      </w:r>
      <w:r w:rsidR="008369B6" w:rsidRPr="008369B6">
        <w:t xml:space="preserve"> </w:t>
      </w:r>
      <w:r w:rsidR="008369B6" w:rsidRPr="00AA009F">
        <w:t>offerte da</w:t>
      </w:r>
      <w:r w:rsidR="008369B6">
        <w:t xml:space="preserve">i nuovi </w:t>
      </w:r>
      <w:r w:rsidR="008369B6" w:rsidRPr="00AA009F">
        <w:t>strumenti</w:t>
      </w:r>
      <w:r w:rsidRPr="00AA009F">
        <w:t>. In analogia a quanto successo in ambiti disciplinari diversi, lo sviluppo di queste cyber</w:t>
      </w:r>
      <w:r w:rsidR="008369B6">
        <w:t>-</w:t>
      </w:r>
      <w:r w:rsidRPr="00AA009F">
        <w:t>infrastrutture in archeologia dovrebbe prendere in considerazione il ciclo completo di generazione della conoscenza, partendo dalla raccolta dei dati e meta-dati, alla conservazione, ricerca, integrazione, analisi e visualizzazione.</w:t>
      </w:r>
    </w:p>
    <w:p w14:paraId="4E0E10F4" w14:textId="77777777" w:rsidR="00B16968" w:rsidRPr="00C75445" w:rsidRDefault="00B16968" w:rsidP="00182BEB">
      <w:pPr>
        <w:pStyle w:val="Titolo1"/>
      </w:pPr>
      <w:r w:rsidRPr="00C75445">
        <w:t>Ostacoli</w:t>
      </w:r>
      <w:r w:rsidR="00B72165">
        <w:t xml:space="preserve"> alla condivisione della conoscenza</w:t>
      </w:r>
    </w:p>
    <w:p w14:paraId="0CAD47E5" w14:textId="77777777" w:rsidR="00CF1DE6" w:rsidRDefault="00B42F7F" w:rsidP="00705564">
      <w:r>
        <w:t xml:space="preserve">Secondo </w:t>
      </w:r>
      <w:proofErr w:type="spellStart"/>
      <w:r>
        <w:t>Kintagh</w:t>
      </w:r>
      <w:proofErr w:type="spellEnd"/>
      <w:r>
        <w:t xml:space="preserve"> </w:t>
      </w:r>
      <w:r w:rsidRPr="00B42F7F">
        <w:rPr>
          <w:i/>
        </w:rPr>
        <w:t>et al.</w:t>
      </w:r>
      <w:r>
        <w:t xml:space="preserve">, in </w:t>
      </w:r>
      <w:r w:rsidR="0000438E">
        <w:t>archeologia</w:t>
      </w:r>
      <w:r>
        <w:t xml:space="preserve"> una piena condivisione delle fonti della conoscenza incontra </w:t>
      </w:r>
      <w:r w:rsidR="00831D0F">
        <w:t>difficoltà</w:t>
      </w:r>
      <w:r>
        <w:t xml:space="preserve"> </w:t>
      </w:r>
      <w:r w:rsidR="00831D0F">
        <w:t>addizionali rispetto ad altri ambiti</w:t>
      </w:r>
      <w:r w:rsidR="0000438E">
        <w:t xml:space="preserve">. </w:t>
      </w:r>
      <w:r w:rsidR="00005592">
        <w:t xml:space="preserve">Gli </w:t>
      </w:r>
      <w:r w:rsidR="0000438E">
        <w:t>ost</w:t>
      </w:r>
      <w:r w:rsidR="00A9577B">
        <w:t xml:space="preserve">acoli </w:t>
      </w:r>
      <w:r w:rsidR="00005592">
        <w:t xml:space="preserve">hanno natura </w:t>
      </w:r>
      <w:r w:rsidR="00A9577B">
        <w:t>diversa,</w:t>
      </w:r>
      <w:r w:rsidR="00005592">
        <w:t xml:space="preserve"> essendo</w:t>
      </w:r>
      <w:r w:rsidR="00A9577B">
        <w:t xml:space="preserve"> riconducibili a tradizioni culturali e a pratiche </w:t>
      </w:r>
      <w:r w:rsidR="00B23B97">
        <w:t>– individuali o dipartimentali – consolidate nel tempo</w:t>
      </w:r>
      <w:r w:rsidR="00A9577B">
        <w:t xml:space="preserve">, </w:t>
      </w:r>
      <w:r w:rsidR="00005592">
        <w:t xml:space="preserve">e </w:t>
      </w:r>
      <w:r w:rsidR="00A9577B">
        <w:t xml:space="preserve">alla </w:t>
      </w:r>
      <w:r w:rsidR="00005592">
        <w:t xml:space="preserve">grande differenziazione </w:t>
      </w:r>
      <w:r w:rsidR="00A9577B">
        <w:t xml:space="preserve">delle informazioni da trattare, dei supporti dove sono registrate e degli stessi </w:t>
      </w:r>
      <w:r w:rsidR="00B23B97">
        <w:lastRenderedPageBreak/>
        <w:t>oggetti da studiare.</w:t>
      </w:r>
    </w:p>
    <w:p w14:paraId="6EABDB34" w14:textId="77777777" w:rsidR="00B23B97" w:rsidRDefault="00B23B97" w:rsidP="00705564">
      <w:r>
        <w:t xml:space="preserve">In archeologia operano molte professionalità assai diverse </w:t>
      </w:r>
      <w:r w:rsidR="00C7042D">
        <w:t>–</w:t>
      </w:r>
      <w:r>
        <w:t xml:space="preserve"> </w:t>
      </w:r>
      <w:r w:rsidR="00C7042D">
        <w:t xml:space="preserve">archeologo, restauratore, conservatore di magazzino, disegnatore, fotografo, archivista – ciascuna delle quali ha un proprio ambito specifico di osservazione, e registra con proprie metodiche e su supporti diversi </w:t>
      </w:r>
      <w:r w:rsidR="00FD3ECD">
        <w:t>i dati</w:t>
      </w:r>
      <w:r w:rsidR="00C7042D">
        <w:t xml:space="preserve"> di rispettivo interesse. Su un unico reperto possono essere quindi disponibili anch</w:t>
      </w:r>
      <w:r w:rsidR="0085647E">
        <w:t>e</w:t>
      </w:r>
      <w:r w:rsidR="00C7042D">
        <w:t xml:space="preserve"> molt</w:t>
      </w:r>
      <w:r w:rsidR="0085647E">
        <w:t>i</w:t>
      </w:r>
      <w:r w:rsidR="00C7042D">
        <w:t xml:space="preserve"> </w:t>
      </w:r>
      <w:r w:rsidR="0085647E">
        <w:t>dati</w:t>
      </w:r>
      <w:r w:rsidR="00C7042D">
        <w:t xml:space="preserve"> </w:t>
      </w:r>
      <w:r w:rsidR="002A3387">
        <w:t>con</w:t>
      </w:r>
      <w:r w:rsidR="00C7042D">
        <w:t xml:space="preserve"> origine, </w:t>
      </w:r>
      <w:r w:rsidR="002A3387">
        <w:t>formato</w:t>
      </w:r>
      <w:r w:rsidR="00C7042D">
        <w:t xml:space="preserve">, allocazione diversa. </w:t>
      </w:r>
      <w:r w:rsidR="0085647E">
        <w:t xml:space="preserve">In assenza di una mappa agile ed efficace per rintracciare e ricomporre tutti i dati riferibili a un reperto, si perde gran parte della conoscenza </w:t>
      </w:r>
      <w:r w:rsidR="002A3387">
        <w:t>che lo stesso reperto potrebbe apportare</w:t>
      </w:r>
      <w:r w:rsidR="0085647E">
        <w:t>.</w:t>
      </w:r>
    </w:p>
    <w:p w14:paraId="520550E0" w14:textId="7168C3F0" w:rsidR="00414572" w:rsidRDefault="0085647E" w:rsidP="00705564">
      <w:r>
        <w:t xml:space="preserve">Anche a causa di pratiche seguite più o meno da sempre, molti dei dati </w:t>
      </w:r>
      <w:r w:rsidR="00414572">
        <w:t>registrati</w:t>
      </w:r>
      <w:r w:rsidR="008369B6">
        <w:t>,</w:t>
      </w:r>
      <w:r w:rsidR="00414572">
        <w:t xml:space="preserve"> a partire dal ritrovamento di un reperto</w:t>
      </w:r>
      <w:r w:rsidR="008369B6">
        <w:t>,</w:t>
      </w:r>
      <w:r w:rsidR="00414572">
        <w:t xml:space="preserve"> e poi lungo tutta la catena del suo trattamento e conservazione, sono a grave rischio di perdita. Questo pericolo è diffuso praticamente ovunque, presso tutti i soggetti</w:t>
      </w:r>
      <w:r w:rsidR="002A3387">
        <w:t>,</w:t>
      </w:r>
      <w:r w:rsidR="00414572">
        <w:t xml:space="preserve"> </w:t>
      </w:r>
      <w:r w:rsidR="002A3387">
        <w:t xml:space="preserve">istituzionali o non, </w:t>
      </w:r>
      <w:r w:rsidR="00414572">
        <w:t xml:space="preserve">che si occupano di archeologia nel mondo. </w:t>
      </w:r>
    </w:p>
    <w:p w14:paraId="19F8D35D" w14:textId="77777777" w:rsidR="00840330" w:rsidRDefault="0008726A" w:rsidP="00705564">
      <w:r>
        <w:t xml:space="preserve">I dati possono </w:t>
      </w:r>
      <w:r w:rsidR="00FD3C13">
        <w:t>anda</w:t>
      </w:r>
      <w:r>
        <w:t xml:space="preserve">re persi perché registrati su supporti deperibili e non facilmente duplicabili: si va da blocchi per appunti, ai fianchi delle cassette che ospitano i reperti, o in alcuni casi a software scelti individualmente dal singolo studioso, </w:t>
      </w:r>
      <w:r w:rsidR="008369B6">
        <w:t xml:space="preserve">spesso </w:t>
      </w:r>
      <w:r>
        <w:t xml:space="preserve">a </w:t>
      </w:r>
      <w:r w:rsidR="008369B6">
        <w:t xml:space="preserve">forte </w:t>
      </w:r>
      <w:r>
        <w:t>rischio di obsolescenza.</w:t>
      </w:r>
      <w:r w:rsidR="00B70B5E">
        <w:t xml:space="preserve"> </w:t>
      </w:r>
      <w:r>
        <w:t xml:space="preserve">Ma i dati possono anche andare perduti perché registrati secondo le modalità e le strutture di acquisizione in vigore all’epoca del ritrovamento, </w:t>
      </w:r>
      <w:r w:rsidR="00B70B5E">
        <w:t xml:space="preserve">spesso in base agli interessi o alle abitudini del singolo archeologo, che </w:t>
      </w:r>
      <w:r w:rsidR="002A3387">
        <w:t xml:space="preserve">è quindi il </w:t>
      </w:r>
      <w:r w:rsidR="00B70B5E">
        <w:t xml:space="preserve">solo in grado di interpretarli </w:t>
      </w:r>
      <w:r w:rsidR="00BB5DB8">
        <w:t xml:space="preserve">integralmente </w:t>
      </w:r>
      <w:r w:rsidR="00B70B5E">
        <w:t xml:space="preserve">e ricavarne senso compiuto. In caso di trasferimento, pensionamento o morte di chi ha registrato quei dati, diventa </w:t>
      </w:r>
      <w:r w:rsidR="002A3387">
        <w:t xml:space="preserve">in seguito </w:t>
      </w:r>
      <w:r w:rsidR="00B70B5E">
        <w:t xml:space="preserve">difficile </w:t>
      </w:r>
      <w:r>
        <w:t>interpreta</w:t>
      </w:r>
      <w:r w:rsidR="00B70B5E">
        <w:t>r</w:t>
      </w:r>
      <w:r>
        <w:t>li</w:t>
      </w:r>
      <w:r w:rsidR="00B70B5E">
        <w:t>, e la perdita è in genere molto grave, se non totale</w:t>
      </w:r>
      <w:r>
        <w:t>.</w:t>
      </w:r>
    </w:p>
    <w:p w14:paraId="30FC8C4D" w14:textId="79D15F63" w:rsidR="0085647E" w:rsidRDefault="003E5F0A" w:rsidP="00705564">
      <w:r>
        <w:t xml:space="preserve">L’ingresso della tecnologia in questo settore, avvenuta di solito in forme spontanee e emergenti, senza un disegno adeguato dei sistemi e senza una costante gestione, paradossalmente aggrava il problema, perché questi dati </w:t>
      </w:r>
      <w:proofErr w:type="spellStart"/>
      <w:r>
        <w:t>nativamente</w:t>
      </w:r>
      <w:proofErr w:type="spellEnd"/>
      <w:r>
        <w:t xml:space="preserve"> digitali, non </w:t>
      </w:r>
      <w:r w:rsidR="00BB5DB8">
        <w:t xml:space="preserve">dispongono di </w:t>
      </w:r>
      <w:r>
        <w:t>copie su carta a cui eventualmente rifarsi</w:t>
      </w:r>
      <w:r w:rsidR="00484D83">
        <w:t>, ne’ sono digitalmente ridondati</w:t>
      </w:r>
      <w:r>
        <w:t>.</w:t>
      </w:r>
    </w:p>
    <w:p w14:paraId="6AC83520" w14:textId="3A2ED5E9" w:rsidR="00FD3ECD" w:rsidRDefault="00BB5DB8" w:rsidP="00705564">
      <w:r>
        <w:t xml:space="preserve">Un altro serio problema derivante dalle modalità di acquisizione e conservazione dei dati risiede nelle difficoltà di ricerca e accesso. In sostanza, la stragrande maggioranza dei dati derivanti da ritrovamenti </w:t>
      </w:r>
      <w:r w:rsidR="00E01AE7">
        <w:t xml:space="preserve">e studi </w:t>
      </w:r>
      <w:r>
        <w:t>precedenti all’era digitale sono difficil</w:t>
      </w:r>
      <w:r w:rsidR="0057323A">
        <w:t>mente</w:t>
      </w:r>
      <w:r>
        <w:t xml:space="preserve"> </w:t>
      </w:r>
      <w:r w:rsidR="0051544A">
        <w:t>accessibili</w:t>
      </w:r>
      <w:r w:rsidR="0057323A">
        <w:t>,</w:t>
      </w:r>
      <w:r>
        <w:t xml:space="preserve"> </w:t>
      </w:r>
      <w:r w:rsidR="00E01AE7">
        <w:t xml:space="preserve">a meno di </w:t>
      </w:r>
      <w:r>
        <w:t>trova</w:t>
      </w:r>
      <w:r w:rsidR="00E01AE7">
        <w:t>r</w:t>
      </w:r>
      <w:r>
        <w:t xml:space="preserve">si fisicamente davanti al supporto che li conserva. </w:t>
      </w:r>
      <w:r w:rsidR="00FD3ECD">
        <w:t xml:space="preserve">Le difficoltà di accesso ai dati </w:t>
      </w:r>
      <w:r w:rsidR="0057323A">
        <w:t>derivanti d</w:t>
      </w:r>
      <w:r w:rsidR="00FD3ECD">
        <w:t xml:space="preserve">a uno scavo o </w:t>
      </w:r>
      <w:r w:rsidR="0057323A">
        <w:t xml:space="preserve">da </w:t>
      </w:r>
      <w:r w:rsidR="00FD3ECD">
        <w:t xml:space="preserve">un rilievo, fa sì che l’integrazione tra dati con origini diverse non avviene mai tra dati primari, ma può avvenire solo attraverso le sintesi contenute in un saggio pubblicato, con evidente limitazione </w:t>
      </w:r>
      <w:r w:rsidR="00840330">
        <w:t xml:space="preserve">per </w:t>
      </w:r>
      <w:r w:rsidR="00FD3ECD">
        <w:t xml:space="preserve">la conoscenza </w:t>
      </w:r>
      <w:r w:rsidR="00840330">
        <w:t xml:space="preserve">addizionale </w:t>
      </w:r>
      <w:r w:rsidR="00FD3ECD">
        <w:t xml:space="preserve">generabile. </w:t>
      </w:r>
    </w:p>
    <w:p w14:paraId="1DAB09E8" w14:textId="73E29570" w:rsidR="00BB5DB8" w:rsidRDefault="00FD3ECD" w:rsidP="00705564">
      <w:r>
        <w:t xml:space="preserve">A ciò si sovrappone </w:t>
      </w:r>
      <w:r w:rsidR="00BB5DB8">
        <w:t xml:space="preserve">una difficoltà contestuale tipica dell’archeologia: in genere </w:t>
      </w:r>
      <w:r w:rsidR="001F4C61">
        <w:t xml:space="preserve">non è possibile ripetere i rilievi che si svolgono in </w:t>
      </w:r>
      <w:r w:rsidR="00BB5DB8">
        <w:t>una campagna di scavo</w:t>
      </w:r>
      <w:r w:rsidR="001F4C61">
        <w:t xml:space="preserve"> </w:t>
      </w:r>
      <w:r>
        <w:t xml:space="preserve">– durante i quali si acquisiscono </w:t>
      </w:r>
      <w:r w:rsidR="00840330">
        <w:t xml:space="preserve">gran parte dei </w:t>
      </w:r>
      <w:r>
        <w:t>dati fondamentali per la generazione di conoscenza –</w:t>
      </w:r>
      <w:r w:rsidR="001F4C61">
        <w:t xml:space="preserve"> perché molti degli elementi da rilevare vengono </w:t>
      </w:r>
      <w:r w:rsidR="00840330">
        <w:t>alterati, spostati o distrutti nel corso della</w:t>
      </w:r>
      <w:r>
        <w:t xml:space="preserve"> campagna, o </w:t>
      </w:r>
      <w:r w:rsidR="00840330">
        <w:t>in seguito</w:t>
      </w:r>
      <w:r w:rsidR="001F4C61">
        <w:t>.</w:t>
      </w:r>
    </w:p>
    <w:p w14:paraId="45A7D7BB" w14:textId="77777777" w:rsidR="001F4C61" w:rsidRPr="00B16968" w:rsidRDefault="008E5329" w:rsidP="00705564">
      <w:r>
        <w:t xml:space="preserve">I dati archeologici sono infine trattati per lo più a livello descrittivo: mancano strumenti evoluti per generare conoscenza dalle informazioni, attraverso la connessione di molti dati diversi e l’inferenza su di essi per ricavare modelli sui </w:t>
      </w:r>
      <w:r>
        <w:lastRenderedPageBreak/>
        <w:t>sistemi sociali e socio-ecologici, che dovrebbero essere l’obiettivo ultimo delle ricerche archeologiche.</w:t>
      </w:r>
      <w:r w:rsidR="001F4C61">
        <w:t xml:space="preserve"> </w:t>
      </w:r>
    </w:p>
    <w:p w14:paraId="0D224463" w14:textId="20D510AC" w:rsidR="007B6C28" w:rsidRPr="00B16968" w:rsidRDefault="00FD3ECD" w:rsidP="00182BEB">
      <w:pPr>
        <w:pStyle w:val="Titolo1"/>
      </w:pPr>
      <w:r>
        <w:t>Raccomandazioni</w:t>
      </w:r>
      <w:r w:rsidR="00B16968" w:rsidRPr="00B16968">
        <w:t xml:space="preserve"> per </w:t>
      </w:r>
      <w:r w:rsidR="00A40F71">
        <w:t>far avanzare la ricerca in archeologia</w:t>
      </w:r>
    </w:p>
    <w:p w14:paraId="76A653EB" w14:textId="6F23BD0F" w:rsidR="00B42F7F" w:rsidRDefault="00B42F7F" w:rsidP="00705564">
      <w:r>
        <w:t>Rilevanti progressi nella ricerca archeologica</w:t>
      </w:r>
      <w:r w:rsidR="00484D83">
        <w:t xml:space="preserve"> saranno possibili</w:t>
      </w:r>
      <w:r>
        <w:t xml:space="preserve"> solo attraverso le capacità di usare una quantità molto più grande di informazioni derivanti dai ritrovamenti, e di collegare tra loro queste informazioni, ricavandone sintesi e modelli in grado di gettare luce sui tanti aspetti tuttora oscuri. </w:t>
      </w:r>
      <w:r w:rsidR="00E20E29" w:rsidRPr="0050437E">
        <w:t xml:space="preserve">Ma secondo gli autori </w:t>
      </w:r>
      <w:r w:rsidR="00E20E29">
        <w:t>l’</w:t>
      </w:r>
      <w:r w:rsidR="00E20E29" w:rsidRPr="0050437E">
        <w:t xml:space="preserve">attenzione va posta anche </w:t>
      </w:r>
      <w:r w:rsidR="001359EA">
        <w:t xml:space="preserve">sulle scelte </w:t>
      </w:r>
      <w:r w:rsidR="00E20E29">
        <w:t>organizzativ</w:t>
      </w:r>
      <w:r w:rsidR="001359EA">
        <w:t>e e gli interventi sulla cultura,</w:t>
      </w:r>
      <w:r w:rsidR="00E20E29">
        <w:t xml:space="preserve"> in grado di </w:t>
      </w:r>
      <w:r w:rsidR="00E20E29" w:rsidRPr="0050437E">
        <w:t>supportare l’avanzamento della scienza</w:t>
      </w:r>
      <w:r w:rsidR="00E20E29">
        <w:t xml:space="preserve"> in archeologia come in altri settori</w:t>
      </w:r>
      <w:r w:rsidR="00E20E29" w:rsidRPr="0050437E">
        <w:t>.</w:t>
      </w:r>
    </w:p>
    <w:p w14:paraId="65EE42EC" w14:textId="77777777" w:rsidR="00FD3ECD" w:rsidRPr="00717459" w:rsidRDefault="00FD3ECD" w:rsidP="00182BEB">
      <w:pPr>
        <w:pStyle w:val="Titolo2"/>
      </w:pPr>
      <w:r w:rsidRPr="00717459">
        <w:t>Digitalizzazione</w:t>
      </w:r>
      <w:r w:rsidR="00AF7F92" w:rsidRPr="00717459">
        <w:t xml:space="preserve"> delle </w:t>
      </w:r>
      <w:r w:rsidR="00AF7F92" w:rsidRPr="00182BEB">
        <w:t>informazioni</w:t>
      </w:r>
    </w:p>
    <w:p w14:paraId="65FA8A1F" w14:textId="77777777" w:rsidR="006A5EA7" w:rsidRDefault="00FD3ECD" w:rsidP="00705564">
      <w:r>
        <w:t xml:space="preserve">Il primo ambito sul quale è fondamentale lavorare per promuovere un salto quantico nella ricerca in archeologia è quello dei dati. Occorre allestire veri e propri data center, dove tutti i dati disponibili confluiscano in archivi ordinati, che siano gestiti e salvaguardati. </w:t>
      </w:r>
      <w:r w:rsidR="00C06C35">
        <w:t xml:space="preserve">Ciò </w:t>
      </w:r>
      <w:r>
        <w:t>scongiur</w:t>
      </w:r>
      <w:r w:rsidR="00C06C35">
        <w:t>erà</w:t>
      </w:r>
      <w:r>
        <w:t xml:space="preserve"> le perdite di dati, e faciliterà l’accesso a una più vasta platea di ricercatori. Inoltre, renderà la ricerca tramite gli strumenti abituali di interrogazione semplice e fruttuosa, ancora di più se sono stati acquisiti e organizzati anche i metadati relativi. </w:t>
      </w:r>
    </w:p>
    <w:p w14:paraId="008A4EF3" w14:textId="4D6FCCA1" w:rsidR="00FD3ECD" w:rsidRDefault="00484D83" w:rsidP="00705564">
      <w:r>
        <w:t xml:space="preserve">Gli autori, </w:t>
      </w:r>
      <w:r w:rsidR="006A5EA7">
        <w:t xml:space="preserve">facendo </w:t>
      </w:r>
      <w:r>
        <w:t>rifer</w:t>
      </w:r>
      <w:r w:rsidR="006A5EA7">
        <w:t>imento nel loro caso al</w:t>
      </w:r>
      <w:r>
        <w:t xml:space="preserve"> contesto</w:t>
      </w:r>
      <w:r w:rsidR="00504BA6">
        <w:t xml:space="preserve"> statunitense, suggeriscono la creazione di un solo data-center in quel paese, per valorizzare al massimo la condivisione, la facilità di accesso per tutti e le possibilità di sviluppo di collaborazione tra istituzioni diverse</w:t>
      </w:r>
      <w:r w:rsidR="001B0BF4">
        <w:t>, rendendo neutrale la proprietà e la gestione delle risorse infrastrutturali</w:t>
      </w:r>
      <w:r w:rsidR="00504BA6">
        <w:t xml:space="preserve">. Un ragionamento simile può essere applicato anche a una prospettiva </w:t>
      </w:r>
      <w:r w:rsidR="001B0BF4">
        <w:t>europea, tenendo conto dello sviluppo delle civiltà antiche (greca, romana ecc.)</w:t>
      </w:r>
      <w:r w:rsidR="006A5EA7">
        <w:t>,</w:t>
      </w:r>
      <w:r w:rsidR="001B0BF4">
        <w:t xml:space="preserve"> che travalicano gli attuali confini nazionali.</w:t>
      </w:r>
    </w:p>
    <w:p w14:paraId="55037361" w14:textId="77777777" w:rsidR="00FD3ECD" w:rsidRDefault="00FD3ECD" w:rsidP="00705564">
      <w:r>
        <w:t xml:space="preserve">Tenendo presente che in archeologia solo una piccolissima parte dei dati è già organizzata in archivi simili, occorre concepire una campagna di digitalizzazione dei dati relativi a reperti e documentazione, almeno quelli più significativi, attualmente su supporti non digitali. Allo stesso tempo, occorre rendere disponibili a tutti i </w:t>
      </w:r>
      <w:proofErr w:type="spellStart"/>
      <w:r>
        <w:t>dataset</w:t>
      </w:r>
      <w:proofErr w:type="spellEnd"/>
      <w:r>
        <w:t xml:space="preserve"> ricavati da specifiche ricerche, ad esempio derivanti da analisi chimiche sulle condizioni contestuali. </w:t>
      </w:r>
    </w:p>
    <w:p w14:paraId="006E2570" w14:textId="77777777" w:rsidR="00FD3ECD" w:rsidRPr="00FD3ECD" w:rsidRDefault="00FD3ECD" w:rsidP="00705564">
      <w:r w:rsidRPr="00FD3ECD">
        <w:t xml:space="preserve">Un altro </w:t>
      </w:r>
      <w:r>
        <w:t>ambito sul quale lavorare, riguarda la ricerca di modalità di integrazione semplificata, attraverso meccanismi di interoperabilità, tra dati provenienti da ricerche svolte in settori disciplinari diversi, ciascuno dei quali è portatore di una chiave di lettura importante alla ricostruzione di un quadro unitario di conoscenza.</w:t>
      </w:r>
    </w:p>
    <w:p w14:paraId="1C9EE66C" w14:textId="77777777" w:rsidR="00FD3ECD" w:rsidRPr="00717459" w:rsidRDefault="00FD3ECD" w:rsidP="00182BEB">
      <w:pPr>
        <w:pStyle w:val="Titolo2"/>
      </w:pPr>
      <w:r w:rsidRPr="00717459">
        <w:t>Nuovi strumenti digitali</w:t>
      </w:r>
    </w:p>
    <w:p w14:paraId="7BAEC5AC" w14:textId="77777777" w:rsidR="00534C75" w:rsidRDefault="00AF7F92" w:rsidP="00705564">
      <w:r>
        <w:t xml:space="preserve">Gran parte delle informazioni più facilmente accessibili sono contenute nei </w:t>
      </w:r>
      <w:r>
        <w:lastRenderedPageBreak/>
        <w:t>documenti pubblicati in varie forme: articoli, libri, report ecc</w:t>
      </w:r>
      <w:r w:rsidRPr="00A40F71">
        <w:t xml:space="preserve">. </w:t>
      </w:r>
      <w:r w:rsidR="00414768" w:rsidRPr="00A40F71">
        <w:t xml:space="preserve">Con </w:t>
      </w:r>
      <w:r w:rsidR="00A40F71">
        <w:t>approccio</w:t>
      </w:r>
      <w:r w:rsidR="00414768" w:rsidRPr="00A40F71">
        <w:t xml:space="preserve"> pragmati</w:t>
      </w:r>
      <w:r w:rsidR="00A40F71">
        <w:t>c</w:t>
      </w:r>
      <w:r w:rsidR="00414768" w:rsidRPr="00A40F71">
        <w:t>o</w:t>
      </w:r>
      <w:r w:rsidR="00C06C35">
        <w:t>,</w:t>
      </w:r>
      <w:r w:rsidR="00414768">
        <w:t xml:space="preserve"> </w:t>
      </w:r>
      <w:proofErr w:type="spellStart"/>
      <w:r w:rsidR="00831D0F">
        <w:t>Kintagh</w:t>
      </w:r>
      <w:proofErr w:type="spellEnd"/>
      <w:r w:rsidR="00831D0F">
        <w:t xml:space="preserve"> </w:t>
      </w:r>
      <w:r w:rsidR="00831D0F" w:rsidRPr="00C06C35">
        <w:rPr>
          <w:i/>
        </w:rPr>
        <w:t>et al</w:t>
      </w:r>
      <w:r w:rsidR="00C06C35">
        <w:rPr>
          <w:i/>
        </w:rPr>
        <w:t>.</w:t>
      </w:r>
      <w:r w:rsidR="00831D0F">
        <w:t xml:space="preserve"> </w:t>
      </w:r>
      <w:r w:rsidR="00414768">
        <w:t>afferma</w:t>
      </w:r>
      <w:r w:rsidR="00831D0F">
        <w:t>no</w:t>
      </w:r>
      <w:r w:rsidR="00414768">
        <w:t xml:space="preserve"> che d</w:t>
      </w:r>
      <w:r>
        <w:t xml:space="preserve">igitalizzare </w:t>
      </w:r>
      <w:r w:rsidR="00136CD9">
        <w:t xml:space="preserve">la massa di </w:t>
      </w:r>
      <w:r>
        <w:t>documenti</w:t>
      </w:r>
      <w:r w:rsidR="00136CD9">
        <w:t xml:space="preserve"> non ancora digitali</w:t>
      </w:r>
      <w:r w:rsidR="00414768">
        <w:t>, anche se ovviamente meno ricchi di dati dettagliati,</w:t>
      </w:r>
      <w:r>
        <w:t xml:space="preserve"> è di gran lunga più facile che </w:t>
      </w:r>
      <w:r w:rsidR="00414768">
        <w:t>fare la stessa cosa con i dati primari, dispersi tra diversissimi supporti e spesso di difficile cattura.</w:t>
      </w:r>
      <w:r w:rsidR="00136CD9">
        <w:t xml:space="preserve"> E t</w:t>
      </w:r>
      <w:r w:rsidR="00414768">
        <w:t xml:space="preserve">uttavia, per poter utilizzare poi </w:t>
      </w:r>
      <w:r w:rsidR="00136CD9">
        <w:t>tutti questi documenti digitalizzati come fonte per ulteriori studi, s</w:t>
      </w:r>
      <w:r w:rsidR="00414768" w:rsidRPr="00AF7F92">
        <w:t xml:space="preserve">ervono nuovi </w:t>
      </w:r>
      <w:r w:rsidR="00414768">
        <w:t xml:space="preserve">strumenti digitali </w:t>
      </w:r>
      <w:r w:rsidR="00136CD9">
        <w:t xml:space="preserve">in grado di </w:t>
      </w:r>
      <w:r w:rsidR="00414768">
        <w:t xml:space="preserve">compiere ricerche più intelligenti di quelle normalmente disponibili attraverso i motori di ricerca testuale. </w:t>
      </w:r>
    </w:p>
    <w:p w14:paraId="16FA8193" w14:textId="0EF75B9A" w:rsidR="00AF7F92" w:rsidRPr="00AF7F92" w:rsidRDefault="00F257F1" w:rsidP="00705564">
      <w:r>
        <w:t>Servono tecnologie in grado di interpretare il linguaggio naturale, di estrarre tutti i dati le informazioni e la conoscenza incorporata in questi documenti, e di rappresentarli poi in una forma utile a successive analisi.</w:t>
      </w:r>
      <w:r w:rsidR="006858B4">
        <w:t xml:space="preserve"> Dal momento che le relazioni chiave tra i concetti raramente sono espresse direttamente a parole, l’estrazione dovrebbe anche ricostruire la struttura e i legami dei concetti trattati: al riguardo rilevanti esperienze sono state fatte </w:t>
      </w:r>
      <w:r w:rsidR="00F75264">
        <w:fldChar w:fldCharType="begin" w:fldLock="1"/>
      </w:r>
      <w:r w:rsidR="001616B0">
        <w:instrText>ADDIN CSL_CITATION { "citationItems" : [ { "id" : "ITEM-1", "itemData" : { "DOI" : "10.1109/TCBB.2010.51", "ISSN" : "1545-5963", "author" : [ { "dropping-particle" : "", "family" : "Hakenberg", "given" : "J", "non-dropping-particle" : "", "parse-names" : false, "suffix" : "" }, { "dropping-particle" : "", "family" : "Leaman", "given" : "R", "non-dropping-particle" : "", "parse-names" : false, "suffix" : "" }, { "dropping-particle" : "", "family" : "Nguyen Ha Vo", "given" : "", "non-dropping-particle" : "", "parse-names" : false, "suffix" : "" }, { "dropping-particle" : "", "family" : "Jonnalagadda", "given" : "S", "non-dropping-particle" : "", "parse-names" : false, "suffix" : "" }, { "dropping-particle" : "", "family" : "Sullivan", "given" : "R", "non-dropping-particle" : "", "parse-names" : false, "suffix" : "" }, { "dropping-particle" : "", "family" : "Miller", "given" : "C", "non-dropping-particle" : "", "parse-names" : false, "suffix" : "" }, { "dropping-particle" : "", "family" : "Tari", "given" : "L", "non-dropping-particle" : "", "parse-names" : false, "suffix" : "" }, { "dropping-particle" : "", "family" : "Baral", "given" : "C", "non-dropping-particle" : "", "parse-names" : false, "suffix" : "" }, { "dropping-particle" : "", "family" : "Gonzalez", "given" : "G", "non-dropping-particle" : "", "parse-names" : false, "suffix" : "" } ], "container-title" : "IEEE/ACM Transactions on Computational Biology and Bioinformatics", "id" : "ITEM-1", "issue" : "3", "issued" : { "date-parts" : [ [ "2010", "7" ] ] }, "page" : "481-494", "title" : "Efficient Extraction of Protein-Protein Interactions from Full-Text Articles", "type" : "article-journal", "volume" : "7" }, "uris" : [ "http://www.mendeley.com/documents/?uuid=8bde7db6-d5ad-4f73-9c6b-2cbfa734e22a" ] }, { "id" : "ITEM-2", "itemData" : { "DOI" : "10.1109/TKDE.2010.214", "ISSN" : "1041-4347", "author" : [ { "dropping-particle" : "", "family" : "Tari", "given" : "Luis", "non-dropping-particle" : "", "parse-names" : false, "suffix" : "" }, { "dropping-particle" : "", "family" : "Phan Huy Tu", "given" : "", "non-dropping-particle" : "", "parse-names" : false, "suffix" : "" }, { "dropping-particle" : "", "family" : "Hakenberg", "given" : "Jorg", "non-dropping-particle" : "", "parse-names" : false, "suffix" : "" }, { "dropping-particle" : "", "family" : "Yi Chen", "given" : "", "non-dropping-particle" : "", "parse-names" : false, "suffix" : "" }, { "dropping-particle" : "", "family" : "Tran Cao Son", "given" : "", "non-dropping-particle" : "", "parse-names" : false, "suffix" : "" }, { "dropping-particle" : "", "family" : "Gonzalez", "given" : "Graciela", "non-dropping-particle" : "", "parse-names" : false, "suffix" : "" }, { "dropping-particle" : "", "family" : "Baral", "given" : "Chitta", "non-dropping-particle" : "", "parse-names" : false, "suffix" : "" } ], "container-title" : "IEEE Transactions on Knowledge and Data Engineering", "id" : "ITEM-2", "issue" : "1", "issued" : { "date-parts" : [ [ "2012", "1" ] ] }, "page" : "86-99", "title" : "Incremental Information Extraction Using Relational Databases", "type" : "article-journal", "volume" : "24" }, "uris" : [ "http://www.mendeley.com/documents/?uuid=9f56f016-ac26-4069-a0a4-2cd76895b342" ] } ], "mendeley" : { "formattedCitation" : "(Hakenberg et al. 2010; Tari et al. 2012)", "plainTextFormattedCitation" : "(Hakenberg et al. 2010; Tari et al. 2012)", "previouslyFormattedCitation" : "[6, 7]" }, "properties" : { "noteIndex" : 6 }, "schema" : "https://github.com/citation-style-language/schema/raw/master/csl-citation.json" }</w:instrText>
      </w:r>
      <w:r w:rsidR="00F75264">
        <w:fldChar w:fldCharType="separate"/>
      </w:r>
      <w:r w:rsidR="001616B0" w:rsidRPr="001616B0">
        <w:rPr>
          <w:noProof/>
        </w:rPr>
        <w:t>(Hakenberg et al. 2010; Tari et al. 2012)</w:t>
      </w:r>
      <w:r w:rsidR="00F75264">
        <w:fldChar w:fldCharType="end"/>
      </w:r>
      <w:r w:rsidR="006858B4">
        <w:t>, ma il contesto archeologico aggiunge alcune sfide ulteriori.</w:t>
      </w:r>
    </w:p>
    <w:p w14:paraId="23499632" w14:textId="5500B7DF" w:rsidR="00330980" w:rsidRPr="00330980" w:rsidRDefault="00330980" w:rsidP="00705564">
      <w:r w:rsidRPr="00330980">
        <w:t>Servono anche strumenti</w:t>
      </w:r>
      <w:r w:rsidR="00831AB6">
        <w:t xml:space="preserve"> – come i modelli ad agenti o dinamici –</w:t>
      </w:r>
      <w:r w:rsidRPr="00330980">
        <w:t xml:space="preserve"> in grado di </w:t>
      </w:r>
      <w:r w:rsidR="00A75E5F">
        <w:t xml:space="preserve">generare una </w:t>
      </w:r>
      <w:r>
        <w:t xml:space="preserve">comprensione profonda di </w:t>
      </w:r>
      <w:r w:rsidRPr="00330980">
        <w:t>sistemi complessi</w:t>
      </w:r>
      <w:r w:rsidR="00E42145">
        <w:t xml:space="preserve"> a partire da tante fonti diverse,</w:t>
      </w:r>
      <w:r w:rsidR="00A75E5F">
        <w:t xml:space="preserve"> e</w:t>
      </w:r>
      <w:r w:rsidR="006A5EA7">
        <w:t xml:space="preserve"> </w:t>
      </w:r>
      <w:r w:rsidR="00A75E5F">
        <w:t xml:space="preserve">di </w:t>
      </w:r>
      <w:r w:rsidR="00A75E5F" w:rsidRPr="00330980">
        <w:t xml:space="preserve">costruire modelli </w:t>
      </w:r>
      <w:r w:rsidR="00A75E5F">
        <w:t>che rispondano a interrogativi interdisciplinari (</w:t>
      </w:r>
      <w:r w:rsidR="00D52E1A">
        <w:t>“</w:t>
      </w:r>
      <w:r w:rsidR="00E42145" w:rsidRPr="00E42145">
        <w:rPr>
          <w:i/>
        </w:rPr>
        <w:t xml:space="preserve">quando questo territorio fu abbandonato e quali </w:t>
      </w:r>
      <w:r w:rsidR="00D52E1A">
        <w:rPr>
          <w:i/>
        </w:rPr>
        <w:t xml:space="preserve">erano </w:t>
      </w:r>
      <w:r w:rsidR="00E42145" w:rsidRPr="00E42145">
        <w:rPr>
          <w:i/>
        </w:rPr>
        <w:t>le condizioni climatiche?</w:t>
      </w:r>
      <w:r w:rsidR="00D52E1A">
        <w:rPr>
          <w:i/>
        </w:rPr>
        <w:t>”</w:t>
      </w:r>
      <w:r w:rsidR="00484D83">
        <w:t>)</w:t>
      </w:r>
      <w:r w:rsidR="00831AB6">
        <w:t xml:space="preserve"> </w:t>
      </w:r>
      <w:r w:rsidR="006A5EA7">
        <w:t xml:space="preserve">come </w:t>
      </w:r>
      <w:r w:rsidR="00831AB6">
        <w:t>base per fare inferenza</w:t>
      </w:r>
      <w:r w:rsidR="006A5EA7">
        <w:t>. E, inoltre</w:t>
      </w:r>
      <w:r w:rsidR="00484D83">
        <w:t xml:space="preserve">, </w:t>
      </w:r>
      <w:r w:rsidR="006A5EA7">
        <w:t>occorrerebbe</w:t>
      </w:r>
      <w:r w:rsidR="00484D83">
        <w:t xml:space="preserve"> </w:t>
      </w:r>
      <w:r w:rsidR="00831AB6">
        <w:t xml:space="preserve">condividere i modelli </w:t>
      </w:r>
      <w:r w:rsidR="006A5EA7">
        <w:t xml:space="preserve">via via </w:t>
      </w:r>
      <w:r w:rsidR="00831AB6">
        <w:t xml:space="preserve">costruiti e i dati </w:t>
      </w:r>
      <w:r w:rsidR="00717459">
        <w:t>utilizzati</w:t>
      </w:r>
      <w:r w:rsidR="00831AB6">
        <w:t>.</w:t>
      </w:r>
    </w:p>
    <w:p w14:paraId="5913B752" w14:textId="77777777" w:rsidR="00FD3ECD" w:rsidRPr="009F347F" w:rsidRDefault="00831AB6" w:rsidP="00182BEB">
      <w:pPr>
        <w:pStyle w:val="Titolo2"/>
      </w:pPr>
      <w:r w:rsidRPr="009F347F">
        <w:t>Cambiamenti culturali</w:t>
      </w:r>
    </w:p>
    <w:p w14:paraId="646C9AFE" w14:textId="7CB1A535" w:rsidR="001645D0" w:rsidRPr="001645D0" w:rsidRDefault="00265FCB" w:rsidP="00705564">
      <w:r>
        <w:t>Come in altri casi di ingresso di una nuova tecnologia, occorre investire in formazione sul</w:t>
      </w:r>
      <w:r w:rsidR="006A5EA7">
        <w:t xml:space="preserve"> suo </w:t>
      </w:r>
      <w:r>
        <w:t xml:space="preserve">uso e </w:t>
      </w:r>
      <w:r w:rsidR="006A5EA7">
        <w:t xml:space="preserve">per favorire </w:t>
      </w:r>
      <w:r>
        <w:t xml:space="preserve">la </w:t>
      </w:r>
      <w:r w:rsidR="006A5EA7">
        <w:t xml:space="preserve">piena </w:t>
      </w:r>
      <w:r>
        <w:t>comprensione dei vantaggi connessi. Ma serve anche costruire</w:t>
      </w:r>
      <w:r w:rsidR="00AE0F7D">
        <w:t xml:space="preserve"> in tutta la comunità,</w:t>
      </w:r>
      <w:r>
        <w:t xml:space="preserve"> </w:t>
      </w:r>
      <w:r w:rsidR="00AE0F7D">
        <w:t>dagli studenti a chi già lavora</w:t>
      </w:r>
      <w:r w:rsidR="00855313">
        <w:t xml:space="preserve"> nel settore</w:t>
      </w:r>
      <w:r w:rsidR="00AE0F7D">
        <w:t>, la figura di archeologo-</w:t>
      </w:r>
      <w:r w:rsidR="006A5EA7">
        <w:t>esperto di dati</w:t>
      </w:r>
      <w:r w:rsidR="00AE0F7D">
        <w:t>. Gli autori citano al riguardo un esempio di programma</w:t>
      </w:r>
      <w:r w:rsidR="00904AAB">
        <w:t xml:space="preserve"> –</w:t>
      </w:r>
      <w:r w:rsidR="00AE0F7D">
        <w:t xml:space="preserve"> basato</w:t>
      </w:r>
      <w:r w:rsidR="00904AAB">
        <w:t xml:space="preserve"> </w:t>
      </w:r>
      <w:r w:rsidR="00AE0F7D">
        <w:t>su un mix di e-learning e workshop frontali con esperti</w:t>
      </w:r>
      <w:r w:rsidR="00904AAB">
        <w:t xml:space="preserve"> – che </w:t>
      </w:r>
      <w:r w:rsidR="00AE0F7D">
        <w:t>si è già dimostrato efficace</w:t>
      </w:r>
      <w:r w:rsidR="001645D0">
        <w:t xml:space="preserve"> </w:t>
      </w:r>
      <w:r w:rsidR="00AE0F7D" w:rsidRPr="001645D0">
        <w:t>(</w:t>
      </w:r>
      <w:hyperlink r:id="rId7" w:history="1">
        <w:r w:rsidR="001645D0" w:rsidRPr="001645D0">
          <w:rPr>
            <w:rStyle w:val="Collegamentoipertestuale"/>
          </w:rPr>
          <w:t>http://www.icpsr.umich.edu/icpsrweb/sumprog/</w:t>
        </w:r>
      </w:hyperlink>
      <w:r w:rsidR="00AE0F7D" w:rsidRPr="001645D0">
        <w:t>)</w:t>
      </w:r>
      <w:r w:rsidR="001645D0" w:rsidRPr="001645D0">
        <w:t>.</w:t>
      </w:r>
    </w:p>
    <w:p w14:paraId="3582EE79" w14:textId="461BEDB2" w:rsidR="00904AAB" w:rsidRDefault="00904AAB" w:rsidP="00705564">
      <w:r w:rsidRPr="00904AAB">
        <w:t xml:space="preserve">Notevoli opportunità possono derivare dallo sviluppo della collaborazione tra </w:t>
      </w:r>
      <w:r w:rsidR="00C36FF7">
        <w:t xml:space="preserve">archeologici accademici e applicati, </w:t>
      </w:r>
      <w:r w:rsidR="00CC4694">
        <w:t xml:space="preserve">che avviene </w:t>
      </w:r>
      <w:r w:rsidR="00C36FF7">
        <w:t xml:space="preserve">soprattutto </w:t>
      </w:r>
      <w:r w:rsidR="00CC4694">
        <w:t xml:space="preserve">nelle grandi sfide riguardanti </w:t>
      </w:r>
      <w:r w:rsidR="00C36FF7">
        <w:t>la gestione del patrimonio archeologico, dove spesso le scelte basate sul soggettivo concetto di “rilevanza” del bene, vengono fatte ad hoc e sulla base delle capacità persuasive dell’archeologo assegnatario</w:t>
      </w:r>
      <w:r w:rsidR="006A5EA7">
        <w:t xml:space="preserve"> del bene</w:t>
      </w:r>
      <w:r w:rsidR="00C36FF7">
        <w:t>.</w:t>
      </w:r>
      <w:r w:rsidR="00CC4694">
        <w:t xml:space="preserve"> Ricomprendere queste grandi sfide, che incorporano un interesse pubblico, </w:t>
      </w:r>
      <w:r w:rsidR="00C42335">
        <w:t xml:space="preserve">con gli abituali processi di gestione dal patrimonio, può contribuire ad allinearne le pratiche </w:t>
      </w:r>
      <w:r w:rsidR="00CC4694">
        <w:t xml:space="preserve">e </w:t>
      </w:r>
      <w:r w:rsidR="00C42335">
        <w:t>anche a trasferire i risultati, di solito importanti, provenienti dalle ricerche svolte in occasione dei grandi progetti. Si tratta comunque di un intervento di natura più sociale e culturale che archeologica.</w:t>
      </w:r>
    </w:p>
    <w:p w14:paraId="7B035685" w14:textId="4CFC193D" w:rsidR="00FD3ECD" w:rsidRDefault="00C42335" w:rsidP="00705564">
      <w:r>
        <w:t xml:space="preserve">Infine, secondo gli autori sono da perseguire anche la </w:t>
      </w:r>
      <w:r w:rsidRPr="0050437E">
        <w:t xml:space="preserve">creazione </w:t>
      </w:r>
      <w:r w:rsidR="00AA009F">
        <w:t xml:space="preserve">di contesti favorevoli al cambiamento culturale, come la creazione </w:t>
      </w:r>
      <w:r w:rsidRPr="0050437E">
        <w:t>di piccol</w:t>
      </w:r>
      <w:r>
        <w:t>i</w:t>
      </w:r>
      <w:r w:rsidRPr="0050437E">
        <w:t xml:space="preserve"> gruppi che favorisc</w:t>
      </w:r>
      <w:r>
        <w:t>o</w:t>
      </w:r>
      <w:r w:rsidRPr="0050437E">
        <w:t xml:space="preserve">no dinamiche </w:t>
      </w:r>
      <w:r>
        <w:t xml:space="preserve">collaborative, e il diretto coinvolgimento di ricercatori e operatori nelle scelte organizzative </w:t>
      </w:r>
      <w:r w:rsidR="000F7BDE">
        <w:t xml:space="preserve">fondamentali </w:t>
      </w:r>
      <w:r>
        <w:t xml:space="preserve">per attuare le pratiche </w:t>
      </w:r>
      <w:r w:rsidR="000F7BDE">
        <w:t xml:space="preserve">definite in </w:t>
      </w:r>
      <w:r w:rsidR="000F7BDE">
        <w:lastRenderedPageBreak/>
        <w:t xml:space="preserve">ambito </w:t>
      </w:r>
      <w:r>
        <w:t>scientific</w:t>
      </w:r>
      <w:r w:rsidR="000F7BDE">
        <w:t>o</w:t>
      </w:r>
      <w:r>
        <w:t>.</w:t>
      </w:r>
    </w:p>
    <w:p w14:paraId="3718D73D" w14:textId="77777777" w:rsidR="00484D83" w:rsidRPr="00CF1DE6" w:rsidRDefault="00484D83" w:rsidP="00484D83">
      <w:pPr>
        <w:pStyle w:val="Titolo1"/>
      </w:pPr>
      <w:r w:rsidRPr="00CF1DE6">
        <w:t>Una prospettiva organizzativa dei problemi della condivisione della conoscenza in archeologia</w:t>
      </w:r>
    </w:p>
    <w:p w14:paraId="6B29F24D" w14:textId="003ACCDE" w:rsidR="00AD3EE0" w:rsidRDefault="00484D83" w:rsidP="00484D83">
      <w:r>
        <w:t>Gli ostacoli alla condivisione della conoscenza in archeologia non hanno solo un fondamento di natura tecnologica, ma anche dei presupposti di natura organizzativa</w:t>
      </w:r>
      <w:r w:rsidR="005B4297">
        <w:t xml:space="preserve">. Questi aspetti </w:t>
      </w:r>
      <w:r w:rsidR="00AD3EE0">
        <w:t xml:space="preserve">sono stati già affrontati in altri lavori </w:t>
      </w:r>
      <w:r>
        <w:fldChar w:fldCharType="begin" w:fldLock="1"/>
      </w:r>
      <w:r w:rsidR="001616B0">
        <w:instrText>ADDIN CSL_CITATION { "citationItems" : [ { "id" : "ITEM-1", "itemData" : { "DOI" : "10.1108/03055721011050659", "author" : [ { "dropping-particle" : "", "family" : "Braccini", "given" : "Alessio Maria", "non-dropping-particle" : "", "parse-names" : false, "suffix" : "" }, { "dropping-particle" : "", "family" : "Federici", "given" : "Tommaso", "non-dropping-particle" : "", "parse-names" : false, "suffix" : "" } ], "container-title" : "VINE: The Journal of Information and Knowledge Management Systems", "id" : "ITEM-1", "issue" : "2", "issued" : { "date-parts" : [ [ "2010" ] ] }, "page" : "136-152", "title" : "An IS for Archaeological Finds Management as a Platform for Knowledge Management: The ArcheoTRAC Case", "type" : "article-journal", "volume" : "40" }, "uris" : [ "http://www.mendeley.com/documents/?uuid=ba679ffb-55f7-4748-ab34-74698d64b3ae" ] }, { "id" : "ITEM-2", "itemData" : { "DOI" : "10.4018/jcit.2012010103", "author" : [ { "dropping-particle" : "", "family" : "Federici", "given" : "Tommaso", "non-dropping-particle" : "", "parse-names" : false, "suffix" : "" }, { "dropping-particle" : "", "family" : "Braccini", "given" : "Alessio Maria", "non-dropping-particle" : "", "parse-names" : false, "suffix" : "" } ], "container-title" : "Journal of Cases on Information and Technology", "id" : "ITEM-2", "issue" : "1", "issued" : { "date-parts" : [ [ "2012" ] ] }, "page" : "26-45", "title" : "The Interplay Between Practitioners and Technological Experts in the Design Process of an IS in Archaeology", "type" : "article-journal", "volume" : "14" }, "uris" : [ "http://www.mendeley.com/documents/?uuid=62585d64-f296-4d94-a4b3-d19d1dd4fe0a" ] } ], "mendeley" : { "formattedCitation" : "(Braccini and Federici 2010; Federici and Braccini 2012)", "plainTextFormattedCitation" : "(Braccini and Federici 2010; Federici and Braccini 2012)", "previouslyFormattedCitation" : "[4, 5]" }, "properties" : { "noteIndex" : 5 }, "schema" : "https://github.com/citation-style-language/schema/raw/master/csl-citation.json" }</w:instrText>
      </w:r>
      <w:r>
        <w:fldChar w:fldCharType="separate"/>
      </w:r>
      <w:r w:rsidR="001616B0" w:rsidRPr="001616B0">
        <w:rPr>
          <w:noProof/>
        </w:rPr>
        <w:t>(Braccini and Federici 2010; Federici and Braccini 2012)</w:t>
      </w:r>
      <w:r>
        <w:fldChar w:fldCharType="end"/>
      </w:r>
      <w:r w:rsidR="005B4297">
        <w:t>,</w:t>
      </w:r>
      <w:r w:rsidR="00AD3EE0">
        <w:t xml:space="preserve"> ai quali si farà riferimento nel prosieguo</w:t>
      </w:r>
      <w:r w:rsidR="005B4297">
        <w:t xml:space="preserve"> per ampliare </w:t>
      </w:r>
      <w:r w:rsidR="00CC0DB2">
        <w:t xml:space="preserve">anche in questa direzione </w:t>
      </w:r>
      <w:r w:rsidR="005B4297">
        <w:t>l</w:t>
      </w:r>
      <w:r w:rsidR="00CC0DB2">
        <w:t xml:space="preserve">’esposizione </w:t>
      </w:r>
      <w:r w:rsidR="005B4297">
        <w:t xml:space="preserve">dell’innovazione </w:t>
      </w:r>
      <w:r w:rsidR="00CC0DB2">
        <w:t>nel settore</w:t>
      </w:r>
      <w:r w:rsidR="005B4297">
        <w:t xml:space="preserve"> archeologi</w:t>
      </w:r>
      <w:r w:rsidR="00CC0DB2">
        <w:t>co</w:t>
      </w:r>
      <w:r>
        <w:t>.</w:t>
      </w:r>
    </w:p>
    <w:p w14:paraId="4F061BD9" w14:textId="434156A7" w:rsidR="00484D83" w:rsidRDefault="00484D83" w:rsidP="00484D83">
      <w:r>
        <w:t>In primo luogo un reperto archeologico è un elemento condiviso tra diverse professionalità, ciascuna delle quali interessata ad un aspetto specifico. Archeologi, restauratori, archivisti, magazzinieri, fotografi, svolgono tutti attività diverse sui reperti archeologici, e ciascuna attività svolta può generare conoscenza. Le loro azioni sono però separate sia dal punto di vista temporale che organizzativo. Questi diversi professionisti lavorano in unità funzionali separate</w:t>
      </w:r>
      <w:r w:rsidR="000F7BDE">
        <w:t>,</w:t>
      </w:r>
      <w:r>
        <w:t xml:space="preserve"> all’interno dei soggetti preposti alla tutela istituzionale del patrimonio archeologico, artistico e paesaggistico (vedi </w:t>
      </w:r>
      <w:r>
        <w:fldChar w:fldCharType="begin"/>
      </w:r>
      <w:r>
        <w:instrText xml:space="preserve"> REF _Ref497574412 \h  \* MERGEFORMAT </w:instrText>
      </w:r>
      <w:r>
        <w:fldChar w:fldCharType="separate"/>
      </w:r>
      <w:r w:rsidR="00807BA6">
        <w:t>Figura 1</w:t>
      </w:r>
      <w:r>
        <w:fldChar w:fldCharType="end"/>
      </w:r>
      <w:r>
        <w:t xml:space="preserve">). Per queste diverse professionalità il reperto archeologico è un vero </w:t>
      </w:r>
      <w:proofErr w:type="spellStart"/>
      <w:r w:rsidRPr="008C6C51">
        <w:rPr>
          <w:i/>
        </w:rPr>
        <w:t>boundary</w:t>
      </w:r>
      <w:proofErr w:type="spellEnd"/>
      <w:r w:rsidRPr="008C6C51">
        <w:rPr>
          <w:i/>
        </w:rPr>
        <w:t xml:space="preserve"> </w:t>
      </w:r>
      <w:proofErr w:type="spellStart"/>
      <w:r w:rsidRPr="008C6C51">
        <w:rPr>
          <w:i/>
        </w:rPr>
        <w:t>object</w:t>
      </w:r>
      <w:proofErr w:type="spellEnd"/>
      <w:r>
        <w:t xml:space="preserve"> </w:t>
      </w:r>
      <w:r>
        <w:fldChar w:fldCharType="begin" w:fldLock="1"/>
      </w:r>
      <w:r w:rsidR="001616B0">
        <w:instrText>ADDIN CSL_CITATION { "citationItems" : [ { "id" : "ITEM-1", "itemData" : { "DOI" : "10.1177/030631289019003001", "ISBN" : "0893-3200", "ISSN" : "0306-3127", "PMID" : "803973233", "author" : [ { "dropping-particle" : "", "family" : "Star", "given" : "Susan Leigh", "non-dropping-particle" : "", "parse-names" : false, "suffix" : "" }, { "dropping-particle" : "", "family" : "Griesemer", "given" : "James R.", "non-dropping-particle" : "", "parse-names" : false, "suffix" : "" } ], "container-title" : "Social Studies of Science", "id" : "ITEM-1", "issue" : "3", "issued" : { "date-parts" : [ [ "1989" ] ] }, "page" : "387-420", "title" : "Institutional Ecology, `Translations' and Boundary Objects: Amateurs and Professionals in Berkeley's Museum of Vertebrate Zoology, 1907-39", "type" : "article-journal", "volume" : "19" }, "uris" : [ "http://www.mendeley.com/documents/?uuid=d7ccb9c8-200b-4a01-8b0d-100e755e55ec" ] } ], "mendeley" : { "formattedCitation" : "(Star and Griesemer 1989)", "plainTextFormattedCitation" : "(Star and Griesemer 1989)", "previouslyFormattedCitation" : "[8]" }, "properties" : { "noteIndex" : 5 }, "schema" : "https://github.com/citation-style-language/schema/raw/master/csl-citation.json" }</w:instrText>
      </w:r>
      <w:r>
        <w:fldChar w:fldCharType="separate"/>
      </w:r>
      <w:r w:rsidR="001616B0" w:rsidRPr="001616B0">
        <w:rPr>
          <w:noProof/>
        </w:rPr>
        <w:t>(Star and Griesemer 1989)</w:t>
      </w:r>
      <w:r>
        <w:fldChar w:fldCharType="end"/>
      </w:r>
      <w:r>
        <w:t>, ed è spesso l’unica forma di coordinamento tra le loro attività.</w:t>
      </w:r>
    </w:p>
    <w:p w14:paraId="386721C2" w14:textId="77777777" w:rsidR="00484D83" w:rsidRDefault="00484D83" w:rsidP="00484D83">
      <w:pPr>
        <w:ind w:firstLine="0"/>
      </w:pPr>
      <w:r>
        <w:rPr>
          <w:noProof/>
          <w:lang w:eastAsia="it-IT"/>
        </w:rPr>
        <w:drawing>
          <wp:inline distT="0" distB="0" distL="0" distR="0" wp14:anchorId="19CFFF1E" wp14:editId="5B7AE57B">
            <wp:extent cx="5039360" cy="1694180"/>
            <wp:effectExtent l="0" t="0" r="40640" b="0"/>
            <wp:docPr id="1" name="Diagram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786E5B8" w14:textId="77777777" w:rsidR="00484D83" w:rsidRDefault="00484D83" w:rsidP="00484D83">
      <w:pPr>
        <w:pStyle w:val="Didascalia"/>
      </w:pPr>
      <w:bookmarkStart w:id="1" w:name="_Ref497574412"/>
      <w:r>
        <w:t xml:space="preserve">Figura </w:t>
      </w:r>
      <w:fldSimple w:instr=" SEQ Figura \* ARABIC ">
        <w:r w:rsidR="00807BA6">
          <w:rPr>
            <w:noProof/>
          </w:rPr>
          <w:t>1</w:t>
        </w:r>
      </w:fldSimple>
      <w:bookmarkEnd w:id="1"/>
      <w:r>
        <w:t xml:space="preserve">. Tipica differenziazione funzionale interna ad una soprintendenza ai beni culturali </w:t>
      </w:r>
    </w:p>
    <w:p w14:paraId="7F704DB4" w14:textId="77777777" w:rsidR="00D15C67" w:rsidRDefault="00484D83" w:rsidP="00484D83">
      <w:r>
        <w:t>Le loro modalità operative sono poi fortemente condizionate da fattori contingenti e contestuali. Soprattutto nel contesto europeo – dove risiede una importante porzione del patrimonio culturale mondiale – i reperti archeologici vengono spesso individuati durante interventi relativi alla costruzione o manutenzione di infrastrutture, o durante le opere pubbliche. Al contrario delle campagne di scavo in sito, in</w:t>
      </w:r>
      <w:r w:rsidR="000F7BDE">
        <w:t xml:space="preserve"> queste situazioni archeologi e</w:t>
      </w:r>
      <w:r>
        <w:t xml:space="preserve"> altri professionisti sono chiamati ad effettuare rilievi e a pianificare interventi in tempi rapidissimi. In effetti, l’intervento in sé costituisce un ritardo per il completamento dell’opera, e un corrisp</w:t>
      </w:r>
      <w:r w:rsidR="00D15C67">
        <w:t>ondente aumento dei suoi costi.</w:t>
      </w:r>
    </w:p>
    <w:p w14:paraId="0A83D852" w14:textId="77777777" w:rsidR="00D15C67" w:rsidRDefault="00484D83" w:rsidP="00D15C67">
      <w:r>
        <w:t>È facile comprendere come in queste condizioni non è in genere possibile seguire fedelmente la sequenza di operazioni che meglio assicura una completa raccolta di dati e la loro corretta registrazione.</w:t>
      </w:r>
      <w:r w:rsidR="00D15C67">
        <w:t xml:space="preserve"> </w:t>
      </w:r>
      <w:r>
        <w:t xml:space="preserve">Le routine e le procedure operative </w:t>
      </w:r>
      <w:r>
        <w:lastRenderedPageBreak/>
        <w:t xml:space="preserve">non sono quindi né rigide, né immutabili, e i tentativi di disegnare </w:t>
      </w:r>
      <w:proofErr w:type="spellStart"/>
      <w:r>
        <w:t>workflow</w:t>
      </w:r>
      <w:proofErr w:type="spellEnd"/>
      <w:r>
        <w:t xml:space="preserve"> “ideali” non hanno successo, perché per lo più inapplicabili. Le pratiche effettive seguono le consuetudini dei diversi professionisti, e sono frutto del necessario adattamento alle condizioni</w:t>
      </w:r>
      <w:r w:rsidR="00D15C67">
        <w:t xml:space="preserve"> contestuali che si verificano.</w:t>
      </w:r>
    </w:p>
    <w:p w14:paraId="343DAFB8" w14:textId="2443F62F" w:rsidR="00484D83" w:rsidRDefault="00484D83" w:rsidP="00D15C67">
      <w:r>
        <w:t>In ultimo, le modalità lavorative adottate dai professionisti impegnati nell’archeologia spesso sono di natura individuale, e fortemente legati all’esperienza maturata dalle singole persone. La raccolta delle informazioni sui reperti è spesso più importante del singolo oggetto. Se in alcuni casi il reperto in sé non è affatto significativo – in quanto frammento non idoneo ad essere mostrato in un museo – lo è invece la conoscenza creata a partire dalla sua scoperta, e le modalità con le quali questa viene estratta, conservata, e condivisa influenzano le potenzialità di generarne di altra</w:t>
      </w:r>
      <w:r w:rsidRPr="00E17ECE">
        <w:t xml:space="preserve">. </w:t>
      </w:r>
      <w:r>
        <w:t>Questa cosa può essere anche vista sotto un’altra prospettiva: un reperto richiede trattamenti e conservazione che hanno un costo, la cui contropartita è la fonte di informazioni per la generazione di conoscenza che esso costituisce. Se, a causa di pratiche errate nella rilevazione o nella registrazione di dati, il reperto cessa di essere una fonte di informazioni, non trova più giustificazione la sua conservazione</w:t>
      </w:r>
      <w:r w:rsidR="00D15C67">
        <w:t xml:space="preserve"> </w:t>
      </w:r>
      <w:r w:rsidR="00D15C67">
        <w:fldChar w:fldCharType="begin" w:fldLock="1"/>
      </w:r>
      <w:r w:rsidR="001616B0">
        <w:instrText>ADDIN CSL_CITATION { "citationItems" : [ { "id" : "ITEM-1", "itemData" : { "DOI" : "10.1108/03055721011050659", "author" : [ { "dropping-particle" : "", "family" : "Braccini", "given" : "Alessio Maria", "non-dropping-particle" : "", "parse-names" : false, "suffix" : "" }, { "dropping-particle" : "", "family" : "Federici", "given" : "Tommaso", "non-dropping-particle" : "", "parse-names" : false, "suffix" : "" } ], "container-title" : "VINE: The Journal of Information and Knowledge Management Systems", "id" : "ITEM-1", "issue" : "2", "issued" : { "date-parts" : [ [ "2010" ] ] }, "page" : "136-152", "title" : "An IS for Archaeological Finds Management as a Platform for Knowledge Management: The ArcheoTRAC Case", "type" : "article-journal", "volume" : "40" }, "uris" : [ "http://www.mendeley.com/documents/?uuid=ba679ffb-55f7-4748-ab34-74698d64b3ae" ] }, { "id" : "ITEM-2", "itemData" : { "DOI" : "10.4018/jcit.2012010103", "author" : [ { "dropping-particle" : "", "family" : "Federici", "given" : "Tommaso", "non-dropping-particle" : "", "parse-names" : false, "suffix" : "" }, { "dropping-particle" : "", "family" : "Braccini", "given" : "Alessio Maria", "non-dropping-particle" : "", "parse-names" : false, "suffix" : "" } ], "container-title" : "Journal of Cases on Information and Technology", "id" : "ITEM-2", "issue" : "1", "issued" : { "date-parts" : [ [ "2012" ] ] }, "page" : "26-45", "title" : "The Interplay Between Practitioners and Technological Experts in the Design Process of an IS in Archaeology", "type" : "article-journal", "volume" : "14" }, "uris" : [ "http://www.mendeley.com/documents/?uuid=62585d64-f296-4d94-a4b3-d19d1dd4fe0a" ] } ], "mendeley" : { "formattedCitation" : "(Braccini and Federici 2010; Federici and Braccini 2012)", "plainTextFormattedCitation" : "(Braccini and Federici 2010; Federici and Braccini 2012)", "previouslyFormattedCitation" : "[4, 5]" }, "properties" : { "noteIndex" : 5 }, "schema" : "https://github.com/citation-style-language/schema/raw/master/csl-citation.json" }</w:instrText>
      </w:r>
      <w:r w:rsidR="00D15C67">
        <w:fldChar w:fldCharType="separate"/>
      </w:r>
      <w:r w:rsidR="001616B0" w:rsidRPr="001616B0">
        <w:rPr>
          <w:noProof/>
        </w:rPr>
        <w:t>(Braccini and Federici 2010; Federici and Braccini 2012)</w:t>
      </w:r>
      <w:r w:rsidR="00D15C67">
        <w:fldChar w:fldCharType="end"/>
      </w:r>
      <w:r>
        <w:t xml:space="preserve">. </w:t>
      </w:r>
    </w:p>
    <w:p w14:paraId="2AF5E9D8" w14:textId="25E75A65" w:rsidR="00484D83" w:rsidRDefault="00484D83" w:rsidP="00484D83">
      <w:r>
        <w:t>Allo stato attuale n</w:t>
      </w:r>
      <w:r w:rsidRPr="00705564">
        <w:t>on è di fatto inusuale per un reperto archeologico tornare nell’oblio una volta scoperto. Ad esempio, i lavori di costruzione di Via dei Fori Imperiali a Roma nel 1939 hanno contribuito a ritrovare un certo numero di reperti archeologici. Una volta estratti e catalogati sono stati uniti insieme ad altri reperti provenienti da campagne di scavo del XIX secolo sui colli Palatino e Celio. I reperti sono stati conservati in 500 casse di legno in attesa di una decisione finale sul loro utilizzo. Gli eventi della seconda guerra mondiale che seguirono a breve ne fecero però perdere la memoria. Gli stessi reperti sono stati “</w:t>
      </w:r>
      <w:proofErr w:type="spellStart"/>
      <w:r w:rsidRPr="00705564">
        <w:t>ri</w:t>
      </w:r>
      <w:proofErr w:type="spellEnd"/>
      <w:r w:rsidRPr="00705564">
        <w:t xml:space="preserve">-scoperti” nel 2010 nei sotterranei del Museo della Civiltà Romana a Roma, e il tempo necessario per </w:t>
      </w:r>
      <w:proofErr w:type="spellStart"/>
      <w:r w:rsidRPr="00705564">
        <w:t>ri</w:t>
      </w:r>
      <w:proofErr w:type="spellEnd"/>
      <w:r w:rsidRPr="00705564">
        <w:t xml:space="preserve">-studiare e </w:t>
      </w:r>
      <w:proofErr w:type="spellStart"/>
      <w:r w:rsidRPr="00705564">
        <w:t>ri</w:t>
      </w:r>
      <w:proofErr w:type="spellEnd"/>
      <w:r w:rsidRPr="00705564">
        <w:t xml:space="preserve">-catalogare il contenuto di tutte le casse è stato stimato in due anni </w:t>
      </w:r>
      <w:r w:rsidRPr="00705564">
        <w:fldChar w:fldCharType="begin" w:fldLock="1"/>
      </w:r>
      <w:r w:rsidR="001616B0">
        <w:instrText>ADDIN CSL_CITATION { "citationItems" : [ { "id" : "ITEM-1", "itemData" : { "URL" : "http://roma.corriere.it/roma/notizie/cronaca/10_settembre_12/fori-impieariali-mistero-500-casse-1703745805200.shtml", "accessed" : { "date-parts" : [ [ "2013", "7", "10" ] ] }, "author" : [ { "dropping-particle" : "", "family" : "Fulloni", "given" : "Alessandro", "non-dropping-particle" : "", "parse-names" : false, "suffix" : "" } ], "id" : "ITEM-1", "issued" : { "date-parts" : [ [ "2012" ] ] }, "title" : "Fori Imperiali, il mistero delle 500 casse - Corriere Roma", "type" : "webpage" }, "uris" : [ "http://www.mendeley.com/documents/?uuid=292039ec-6c1f-4e35-aa8c-ede9436972e5" ] } ], "mendeley" : { "formattedCitation" : "(Fulloni 2012)", "plainTextFormattedCitation" : "(Fulloni 2012)", "previouslyFormattedCitation" : "[9]" }, "properties" : { "noteIndex" : 6 }, "schema" : "https://github.com/citation-style-language/schema/raw/master/csl-citation.json" }</w:instrText>
      </w:r>
      <w:r w:rsidRPr="00705564">
        <w:fldChar w:fldCharType="separate"/>
      </w:r>
      <w:r w:rsidR="001616B0" w:rsidRPr="001616B0">
        <w:rPr>
          <w:noProof/>
        </w:rPr>
        <w:t>(Fulloni 2012)</w:t>
      </w:r>
      <w:r w:rsidRPr="00705564">
        <w:fldChar w:fldCharType="end"/>
      </w:r>
      <w:r w:rsidRPr="00705564">
        <w:t>.</w:t>
      </w:r>
    </w:p>
    <w:p w14:paraId="0611E169" w14:textId="77777777" w:rsidR="001616B0" w:rsidRDefault="001616B0" w:rsidP="00484D83"/>
    <w:tbl>
      <w:tblPr>
        <w:tblStyle w:val="Grigliatabella"/>
        <w:tblW w:w="0" w:type="auto"/>
        <w:tblLook w:val="04A0" w:firstRow="1" w:lastRow="0" w:firstColumn="1" w:lastColumn="0" w:noHBand="0" w:noVBand="1"/>
      </w:tblPr>
      <w:tblGrid>
        <w:gridCol w:w="7926"/>
      </w:tblGrid>
      <w:tr w:rsidR="001616B0" w14:paraId="23C740D4" w14:textId="77777777" w:rsidTr="001616B0">
        <w:tc>
          <w:tcPr>
            <w:tcW w:w="7926" w:type="dxa"/>
          </w:tcPr>
          <w:p w14:paraId="11A9379D" w14:textId="2DFAF19F" w:rsidR="001616B0" w:rsidRPr="00363C2D" w:rsidRDefault="00363C2D" w:rsidP="00484D83">
            <w:pPr>
              <w:ind w:firstLine="0"/>
              <w:rPr>
                <w:i/>
              </w:rPr>
            </w:pPr>
            <w:r>
              <w:t xml:space="preserve">Box 1. Il concetto di </w:t>
            </w:r>
            <w:proofErr w:type="spellStart"/>
            <w:r>
              <w:rPr>
                <w:i/>
              </w:rPr>
              <w:t>Boundary</w:t>
            </w:r>
            <w:proofErr w:type="spellEnd"/>
            <w:r>
              <w:rPr>
                <w:i/>
              </w:rPr>
              <w:t xml:space="preserve"> Object</w:t>
            </w:r>
            <w:r w:rsidR="00EF108A">
              <w:rPr>
                <w:i/>
              </w:rPr>
              <w:t xml:space="preserve"> (Star &amp; </w:t>
            </w:r>
            <w:proofErr w:type="spellStart"/>
            <w:r w:rsidR="00EF108A">
              <w:rPr>
                <w:i/>
              </w:rPr>
              <w:t>Griesemer</w:t>
            </w:r>
            <w:proofErr w:type="spellEnd"/>
            <w:r w:rsidR="00EF108A">
              <w:rPr>
                <w:i/>
              </w:rPr>
              <w:t>; 1989)</w:t>
            </w:r>
          </w:p>
        </w:tc>
      </w:tr>
      <w:tr w:rsidR="001616B0" w14:paraId="751A7647" w14:textId="77777777" w:rsidTr="00AD3EE0">
        <w:trPr>
          <w:trHeight w:val="1125"/>
        </w:trPr>
        <w:tc>
          <w:tcPr>
            <w:tcW w:w="7926" w:type="dxa"/>
          </w:tcPr>
          <w:p w14:paraId="754F43FC" w14:textId="2A836DF7" w:rsidR="006F0E73" w:rsidRDefault="005E2FE0" w:rsidP="005E2FE0">
            <w:pPr>
              <w:ind w:firstLine="0"/>
            </w:pPr>
            <w:r>
              <w:t xml:space="preserve">Alcuni contesti lavorativi, tipicamente ad alto contenuto di conoscenza, sono caratterizzati dalla presenza di persone provenienti da </w:t>
            </w:r>
            <w:r w:rsidR="006F0E73">
              <w:t>diverse comunità professionali (mondi sociali)</w:t>
            </w:r>
            <w:r>
              <w:t xml:space="preserve">. Queste dispongono di conoscenze e competenze diverse, si trovano a lavorare in un gruppo che condivide un obiettivo comune, e </w:t>
            </w:r>
            <w:r w:rsidR="00E34DA2">
              <w:t>devono</w:t>
            </w:r>
            <w:r>
              <w:t xml:space="preserve"> individuare meccanismi di coordinamento e routine comuni</w:t>
            </w:r>
            <w:r w:rsidR="00E34DA2">
              <w:t xml:space="preserve"> per collaborare</w:t>
            </w:r>
            <w:r>
              <w:t xml:space="preserve">. </w:t>
            </w:r>
            <w:r w:rsidR="00AA742A">
              <w:t>È</w:t>
            </w:r>
            <w:r>
              <w:t xml:space="preserve"> questo il caso </w:t>
            </w:r>
            <w:r w:rsidR="00747816">
              <w:t>di contesti quali quello descritto nell’articolo</w:t>
            </w:r>
            <w:r>
              <w:t xml:space="preserve"> dove ricercatori di diverse discipline, tecnici, e personale amministrativo condividono l’obiettivo </w:t>
            </w:r>
            <w:r w:rsidR="00ED3477">
              <w:t>di portare a termine progetti di ricerca.</w:t>
            </w:r>
          </w:p>
          <w:p w14:paraId="3727447F" w14:textId="0F1E56CE" w:rsidR="001616B0" w:rsidRDefault="00ED3477" w:rsidP="006F0E73">
            <w:pPr>
              <w:ind w:firstLine="0"/>
            </w:pPr>
            <w:r>
              <w:t xml:space="preserve">Affinché </w:t>
            </w:r>
            <w:r w:rsidR="006F0E73">
              <w:t>il gruppo stabilisca una effettiva collaborazione è</w:t>
            </w:r>
            <w:r>
              <w:t xml:space="preserve"> necessario comunicare</w:t>
            </w:r>
            <w:r w:rsidR="006F0E73">
              <w:t xml:space="preserve"> e</w:t>
            </w:r>
            <w:r>
              <w:t xml:space="preserve"> riconciliare divers</w:t>
            </w:r>
            <w:r w:rsidR="006F0E73">
              <w:t>e</w:t>
            </w:r>
            <w:r>
              <w:t xml:space="preserve"> interpretazioni degli stessi fenomeni</w:t>
            </w:r>
            <w:r w:rsidR="006F0E73">
              <w:t>, e q</w:t>
            </w:r>
            <w:r>
              <w:t xml:space="preserve">uesto richiede </w:t>
            </w:r>
            <w:r w:rsidR="00BD0396">
              <w:t>un notevole sforzo.</w:t>
            </w:r>
          </w:p>
          <w:p w14:paraId="1CE9FBDA" w14:textId="62BE2580" w:rsidR="00BD0396" w:rsidRDefault="006F0E73" w:rsidP="001616E3">
            <w:pPr>
              <w:ind w:firstLine="0"/>
            </w:pPr>
            <w:r>
              <w:t xml:space="preserve">In contesti simili i </w:t>
            </w:r>
            <w:proofErr w:type="spellStart"/>
            <w:r>
              <w:rPr>
                <w:i/>
              </w:rPr>
              <w:t>boundary</w:t>
            </w:r>
            <w:proofErr w:type="spellEnd"/>
            <w:r>
              <w:rPr>
                <w:i/>
              </w:rPr>
              <w:t xml:space="preserve"> </w:t>
            </w:r>
            <w:proofErr w:type="spellStart"/>
            <w:r>
              <w:rPr>
                <w:i/>
              </w:rPr>
              <w:t>object</w:t>
            </w:r>
            <w:proofErr w:type="spellEnd"/>
            <w:r>
              <w:t xml:space="preserve"> possono aiutare </w:t>
            </w:r>
            <w:r w:rsidR="00747816">
              <w:t>comunicazione e</w:t>
            </w:r>
            <w:r>
              <w:t xml:space="preserve"> coordinamento. </w:t>
            </w:r>
            <w:r w:rsidR="00EF108A">
              <w:t>U</w:t>
            </w:r>
            <w:r w:rsidR="00BD0396">
              <w:t xml:space="preserve">n </w:t>
            </w:r>
            <w:proofErr w:type="spellStart"/>
            <w:r w:rsidR="00BD0396">
              <w:rPr>
                <w:i/>
              </w:rPr>
              <w:t>boundary</w:t>
            </w:r>
            <w:proofErr w:type="spellEnd"/>
            <w:r w:rsidR="00BD0396">
              <w:rPr>
                <w:i/>
              </w:rPr>
              <w:t xml:space="preserve"> </w:t>
            </w:r>
            <w:proofErr w:type="spellStart"/>
            <w:r w:rsidR="00BD0396">
              <w:rPr>
                <w:i/>
              </w:rPr>
              <w:t>object</w:t>
            </w:r>
            <w:proofErr w:type="spellEnd"/>
            <w:r w:rsidR="00BD0396">
              <w:t xml:space="preserve"> è un </w:t>
            </w:r>
            <w:r w:rsidR="00EF108A">
              <w:t xml:space="preserve">oggetto – sia fisico che astratto – con una struttura sufficientemente </w:t>
            </w:r>
            <w:r w:rsidR="00BD0396" w:rsidRPr="00BD0396">
              <w:rPr>
                <w:i/>
              </w:rPr>
              <w:t>malleabile</w:t>
            </w:r>
            <w:r w:rsidR="00BD0396">
              <w:t xml:space="preserve"> (in senso metaforico) da poter essere adattato al contesto specifico e alle necessità dei diversi soggetti che lo usano, </w:t>
            </w:r>
            <w:r w:rsidR="00BD0396">
              <w:lastRenderedPageBreak/>
              <w:t xml:space="preserve">ma </w:t>
            </w:r>
            <w:r w:rsidR="00EF108A">
              <w:t>al tempo stesso sufficientemente</w:t>
            </w:r>
            <w:r w:rsidR="00BD0396">
              <w:t xml:space="preserve"> </w:t>
            </w:r>
            <w:r w:rsidR="00747816">
              <w:rPr>
                <w:i/>
              </w:rPr>
              <w:t>strutturato</w:t>
            </w:r>
            <w:r w:rsidR="00BD0396">
              <w:t xml:space="preserve"> da poter mantenere una identità comun</w:t>
            </w:r>
            <w:r w:rsidR="00EF108A">
              <w:t>e attraverso i diversi</w:t>
            </w:r>
            <w:r w:rsidR="00BD0396">
              <w:t xml:space="preserve"> soggetti. </w:t>
            </w:r>
            <w:r w:rsidR="001616E3">
              <w:t>Per il gruppo questi oggetti hanno una identità poco definita, mentre per ciascun componente hanno un significato specifico. Per questo, pur se possono</w:t>
            </w:r>
            <w:r w:rsidR="00EF108A">
              <w:t xml:space="preserve"> assumere diversi significati, ciascun componente del gruppo </w:t>
            </w:r>
            <w:r w:rsidR="001616E3">
              <w:t>proveniente</w:t>
            </w:r>
            <w:r w:rsidR="00EF108A">
              <w:t xml:space="preserve"> da un diverso </w:t>
            </w:r>
            <w:r w:rsidR="00747816">
              <w:t>mondo sociale</w:t>
            </w:r>
            <w:r w:rsidR="00EF108A">
              <w:t xml:space="preserve"> è in grado di riconoscerlo ed assegnarli un significato</w:t>
            </w:r>
            <w:r w:rsidR="001616E3">
              <w:t xml:space="preserve"> specifico. In questa maniera i </w:t>
            </w:r>
            <w:proofErr w:type="spellStart"/>
            <w:r w:rsidR="001616E3">
              <w:rPr>
                <w:i/>
              </w:rPr>
              <w:t>boundary</w:t>
            </w:r>
            <w:proofErr w:type="spellEnd"/>
            <w:r w:rsidR="001616E3">
              <w:rPr>
                <w:i/>
              </w:rPr>
              <w:t xml:space="preserve"> </w:t>
            </w:r>
            <w:proofErr w:type="spellStart"/>
            <w:r w:rsidR="001616E3">
              <w:rPr>
                <w:i/>
              </w:rPr>
              <w:t>object</w:t>
            </w:r>
            <w:proofErr w:type="spellEnd"/>
            <w:r w:rsidR="001616E3">
              <w:t xml:space="preserve"> facilitano la comunicazione e il coordinamento tra mondi sociali diversi che si intersecano in un gruppo di lavoro</w:t>
            </w:r>
            <w:r w:rsidR="00EF108A">
              <w:t xml:space="preserve">. </w:t>
            </w:r>
          </w:p>
          <w:p w14:paraId="092BEC72" w14:textId="2B71582D" w:rsidR="00AA742A" w:rsidRPr="00E34DA2" w:rsidRDefault="00E34DA2" w:rsidP="00747816">
            <w:pPr>
              <w:ind w:firstLine="0"/>
            </w:pPr>
            <w:r>
              <w:t xml:space="preserve">Nel caso descritto nel presente articolo i </w:t>
            </w:r>
            <w:proofErr w:type="spellStart"/>
            <w:r>
              <w:rPr>
                <w:i/>
              </w:rPr>
              <w:t>boundary</w:t>
            </w:r>
            <w:proofErr w:type="spellEnd"/>
            <w:r>
              <w:rPr>
                <w:i/>
              </w:rPr>
              <w:t xml:space="preserve"> </w:t>
            </w:r>
            <w:proofErr w:type="spellStart"/>
            <w:r>
              <w:rPr>
                <w:i/>
              </w:rPr>
              <w:t>object</w:t>
            </w:r>
            <w:proofErr w:type="spellEnd"/>
            <w:r>
              <w:t xml:space="preserve"> sono i singoli reperti archeologici con </w:t>
            </w:r>
            <w:r w:rsidR="00747816">
              <w:t>il loro patrimonio di conoscenza, e i diversi mondi sociali sono quelli delle comunità di archeologi, archivisti, fotografi, restauratori e storici che intervengono a vari livelli e relativamente a vari aspetti nella gestione dei reperti e delle relative informazioni.</w:t>
            </w:r>
            <w:r>
              <w:t xml:space="preserve"> </w:t>
            </w:r>
          </w:p>
        </w:tc>
      </w:tr>
    </w:tbl>
    <w:p w14:paraId="77011A2F" w14:textId="77777777" w:rsidR="001616B0" w:rsidRDefault="001616B0" w:rsidP="00484D83"/>
    <w:p w14:paraId="4A1B1FDB" w14:textId="77777777" w:rsidR="00AA009F" w:rsidRPr="00AC1B46" w:rsidRDefault="00AA009F" w:rsidP="00182BEB">
      <w:pPr>
        <w:pStyle w:val="Titolo1"/>
      </w:pPr>
      <w:r w:rsidRPr="00AC1B46">
        <w:t>Bibliografia</w:t>
      </w:r>
    </w:p>
    <w:p w14:paraId="4FA872DC" w14:textId="782D89F1" w:rsidR="001616B0" w:rsidRPr="001616B0" w:rsidRDefault="008C6C51" w:rsidP="001616B0">
      <w:pPr>
        <w:autoSpaceDE w:val="0"/>
        <w:autoSpaceDN w:val="0"/>
        <w:adjustRightInd w:val="0"/>
        <w:ind w:left="480" w:hanging="480"/>
        <w:rPr>
          <w:rFonts w:eastAsia="Times New Roman"/>
          <w:noProof/>
          <w:lang w:val="en-US"/>
        </w:rPr>
      </w:pPr>
      <w:r>
        <w:rPr>
          <w:lang w:val="en-US"/>
        </w:rPr>
        <w:fldChar w:fldCharType="begin" w:fldLock="1"/>
      </w:r>
      <w:r w:rsidRPr="00AC1B46">
        <w:instrText xml:space="preserve">ADDIN Mendeley Bibliography CSL_BIBLIOGRAPHY </w:instrText>
      </w:r>
      <w:r>
        <w:rPr>
          <w:lang w:val="en-US"/>
        </w:rPr>
        <w:fldChar w:fldCharType="separate"/>
      </w:r>
      <w:r w:rsidR="001616B0" w:rsidRPr="001616B0">
        <w:rPr>
          <w:rFonts w:eastAsia="Times New Roman"/>
          <w:noProof/>
        </w:rPr>
        <w:t xml:space="preserve">Braccini, Alessio Maria, and Tommaso Federici. </w:t>
      </w:r>
      <w:r w:rsidR="001616B0" w:rsidRPr="001616B0">
        <w:rPr>
          <w:rFonts w:eastAsia="Times New Roman"/>
          <w:noProof/>
          <w:lang w:val="en-US"/>
        </w:rPr>
        <w:t xml:space="preserve">2010. “An IS for Archaeological Finds Management as a Platform for Knowledge Management: The ArcheoTRAC Case.” </w:t>
      </w:r>
      <w:r w:rsidR="001616B0" w:rsidRPr="001616B0">
        <w:rPr>
          <w:rFonts w:eastAsia="Times New Roman"/>
          <w:i/>
          <w:iCs/>
          <w:noProof/>
          <w:lang w:val="en-US"/>
        </w:rPr>
        <w:t>VINE: The Journal of Information and Knowledge Management Systems</w:t>
      </w:r>
      <w:r w:rsidR="001616B0" w:rsidRPr="001616B0">
        <w:rPr>
          <w:rFonts w:eastAsia="Times New Roman"/>
          <w:noProof/>
          <w:lang w:val="en-US"/>
        </w:rPr>
        <w:t xml:space="preserve"> 40(2): 136–52.</w:t>
      </w:r>
    </w:p>
    <w:p w14:paraId="0C4B491A"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 xml:space="preserve">Edmunds, M. G., and P. Morgan. 2000. “The Antikythera Mechanism: Still a Mystery of Greek Astronomy?” </w:t>
      </w:r>
      <w:r w:rsidRPr="001616B0">
        <w:rPr>
          <w:rFonts w:eastAsia="Times New Roman"/>
          <w:i/>
          <w:iCs/>
          <w:noProof/>
          <w:lang w:val="en-US"/>
        </w:rPr>
        <w:t>Astronomy &amp; Geophysics</w:t>
      </w:r>
      <w:r w:rsidRPr="001616B0">
        <w:rPr>
          <w:rFonts w:eastAsia="Times New Roman"/>
          <w:noProof/>
          <w:lang w:val="en-US"/>
        </w:rPr>
        <w:t xml:space="preserve"> 41(6): 6.10-6.17.</w:t>
      </w:r>
    </w:p>
    <w:p w14:paraId="3F40227E"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 xml:space="preserve">Federici, Tommaso, and Alessio Maria Braccini. 2012. “The Interplay Between Practitioners and Technological Experts in the Design Process of an IS in Archaeology.” </w:t>
      </w:r>
      <w:r w:rsidRPr="001616B0">
        <w:rPr>
          <w:rFonts w:eastAsia="Times New Roman"/>
          <w:i/>
          <w:iCs/>
          <w:noProof/>
          <w:lang w:val="en-US"/>
        </w:rPr>
        <w:t>Journal of Cases on Information and Technology</w:t>
      </w:r>
      <w:r w:rsidRPr="001616B0">
        <w:rPr>
          <w:rFonts w:eastAsia="Times New Roman"/>
          <w:noProof/>
          <w:lang w:val="en-US"/>
        </w:rPr>
        <w:t xml:space="preserve"> 14(1): 26–45.</w:t>
      </w:r>
    </w:p>
    <w:p w14:paraId="1A781085"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Fulloni, Alessandro. 2012. “Fori Imperiali, Il Mistero Delle 500 Casse - Corriere Roma.” http://roma.corriere.it/roma/notizie/cronaca/10_settembre_12/fori-impieariali-mistero-500-casse-1703745805200.shtml (July 10, 2013).</w:t>
      </w:r>
    </w:p>
    <w:p w14:paraId="0B1E8281"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 xml:space="preserve">Hakenberg, J et al. 2010. “Efficient Extraction of Protein-Protein Interactions from Full-Text Articles.” </w:t>
      </w:r>
      <w:r w:rsidRPr="001616B0">
        <w:rPr>
          <w:rFonts w:eastAsia="Times New Roman"/>
          <w:i/>
          <w:iCs/>
          <w:noProof/>
          <w:lang w:val="en-US"/>
        </w:rPr>
        <w:t>IEEE/ACM Transactions on Computational Biology and Bioinformatics</w:t>
      </w:r>
      <w:r w:rsidRPr="001616B0">
        <w:rPr>
          <w:rFonts w:eastAsia="Times New Roman"/>
          <w:noProof/>
          <w:lang w:val="en-US"/>
        </w:rPr>
        <w:t xml:space="preserve"> 7(3): 481–94. http://ieeexplore.ieee.org/document/5473210/.</w:t>
      </w:r>
    </w:p>
    <w:p w14:paraId="2C814D94"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 xml:space="preserve">Kintigh, Keith W. et al. 2015. “Cultural Dynamics, Deep Time, and Data.” </w:t>
      </w:r>
      <w:r w:rsidRPr="001616B0">
        <w:rPr>
          <w:rFonts w:eastAsia="Times New Roman"/>
          <w:i/>
          <w:iCs/>
          <w:noProof/>
          <w:lang w:val="en-US"/>
        </w:rPr>
        <w:t>Advances in Archaeological Practice</w:t>
      </w:r>
      <w:r w:rsidRPr="001616B0">
        <w:rPr>
          <w:rFonts w:eastAsia="Times New Roman"/>
          <w:noProof/>
          <w:lang w:val="en-US"/>
        </w:rPr>
        <w:t xml:space="preserve"> 3(1): 1–15. https://www.cambridge.org/core/product/identifier/S2326376800000310/type/journal_article.</w:t>
      </w:r>
    </w:p>
    <w:p w14:paraId="778A01E0"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 xml:space="preserve">De Solla Price, D. 1975. </w:t>
      </w:r>
      <w:r w:rsidRPr="001616B0">
        <w:rPr>
          <w:rFonts w:eastAsia="Times New Roman"/>
          <w:i/>
          <w:iCs/>
          <w:noProof/>
          <w:lang w:val="en-US"/>
        </w:rPr>
        <w:t>Gears from the Greeks: The Antikythera Mechanism: A Calendar Computer from Ca. 89 BC</w:t>
      </w:r>
      <w:r w:rsidRPr="001616B0">
        <w:rPr>
          <w:rFonts w:eastAsia="Times New Roman"/>
          <w:noProof/>
          <w:lang w:val="en-US"/>
        </w:rPr>
        <w:t>. New York: Science History.</w:t>
      </w:r>
    </w:p>
    <w:p w14:paraId="0476E9C9" w14:textId="77777777" w:rsidR="001616B0" w:rsidRPr="001616B0" w:rsidRDefault="001616B0" w:rsidP="001616B0">
      <w:pPr>
        <w:autoSpaceDE w:val="0"/>
        <w:autoSpaceDN w:val="0"/>
        <w:adjustRightInd w:val="0"/>
        <w:ind w:left="480" w:hanging="480"/>
        <w:rPr>
          <w:rFonts w:eastAsia="Times New Roman"/>
          <w:noProof/>
          <w:lang w:val="en-US"/>
        </w:rPr>
      </w:pPr>
      <w:r w:rsidRPr="001616B0">
        <w:rPr>
          <w:rFonts w:eastAsia="Times New Roman"/>
          <w:noProof/>
          <w:lang w:val="en-US"/>
        </w:rPr>
        <w:t xml:space="preserve">Star, Susan Leigh, and James R. Griesemer. 1989. “Institutional Ecology, `Translations’ and Boundary Objects: Amateurs and Professionals in Berkeley’s Museum of Vertebrate Zoology, 1907-39.” </w:t>
      </w:r>
      <w:r w:rsidRPr="001616B0">
        <w:rPr>
          <w:rFonts w:eastAsia="Times New Roman"/>
          <w:i/>
          <w:iCs/>
          <w:noProof/>
          <w:lang w:val="en-US"/>
        </w:rPr>
        <w:t>Social Studies of Science</w:t>
      </w:r>
      <w:r w:rsidRPr="001616B0">
        <w:rPr>
          <w:rFonts w:eastAsia="Times New Roman"/>
          <w:noProof/>
          <w:lang w:val="en-US"/>
        </w:rPr>
        <w:t xml:space="preserve"> 19(3): 387–420. http://sss.sagepub.com/cgi/doi/10.1177/030631289019003001.</w:t>
      </w:r>
    </w:p>
    <w:p w14:paraId="60F37DCA" w14:textId="77777777" w:rsidR="001616B0" w:rsidRPr="001616B0" w:rsidRDefault="001616B0" w:rsidP="001616B0">
      <w:pPr>
        <w:autoSpaceDE w:val="0"/>
        <w:autoSpaceDN w:val="0"/>
        <w:adjustRightInd w:val="0"/>
        <w:ind w:left="480" w:hanging="480"/>
        <w:rPr>
          <w:noProof/>
          <w:lang w:val="en-US"/>
        </w:rPr>
      </w:pPr>
      <w:r w:rsidRPr="001616B0">
        <w:rPr>
          <w:rFonts w:eastAsia="Times New Roman"/>
          <w:noProof/>
          <w:lang w:val="en-US"/>
        </w:rPr>
        <w:t xml:space="preserve">Tari, Luis et al. 2012. “Incremental Information Extraction Using Relational </w:t>
      </w:r>
      <w:r w:rsidRPr="001616B0">
        <w:rPr>
          <w:rFonts w:eastAsia="Times New Roman"/>
          <w:noProof/>
          <w:lang w:val="en-US"/>
        </w:rPr>
        <w:lastRenderedPageBreak/>
        <w:t xml:space="preserve">Databases.” </w:t>
      </w:r>
      <w:r w:rsidRPr="001616B0">
        <w:rPr>
          <w:rFonts w:eastAsia="Times New Roman"/>
          <w:i/>
          <w:iCs/>
          <w:noProof/>
          <w:lang w:val="en-US"/>
        </w:rPr>
        <w:t>IEEE Transactions on Knowledge and Data Engineering</w:t>
      </w:r>
      <w:r w:rsidRPr="001616B0">
        <w:rPr>
          <w:rFonts w:eastAsia="Times New Roman"/>
          <w:noProof/>
          <w:lang w:val="en-US"/>
        </w:rPr>
        <w:t xml:space="preserve"> 24(1): 86–99. http://ieeexplore.ieee.org/document/5611526/.</w:t>
      </w:r>
    </w:p>
    <w:p w14:paraId="69D91CF1" w14:textId="378394E8" w:rsidR="00AA009F" w:rsidRPr="00F75264" w:rsidRDefault="008C6C51" w:rsidP="001616B0">
      <w:pPr>
        <w:autoSpaceDE w:val="0"/>
        <w:autoSpaceDN w:val="0"/>
        <w:adjustRightInd w:val="0"/>
        <w:ind w:left="640" w:hanging="640"/>
        <w:rPr>
          <w:lang w:val="en-US"/>
        </w:rPr>
      </w:pPr>
      <w:r>
        <w:rPr>
          <w:lang w:val="en-US"/>
        </w:rPr>
        <w:fldChar w:fldCharType="end"/>
      </w:r>
    </w:p>
    <w:sectPr w:rsidR="00AA009F" w:rsidRPr="00F75264" w:rsidSect="00B16968">
      <w:pgSz w:w="11906" w:h="16838" w:code="9"/>
      <w:pgMar w:top="2835" w:right="1985" w:bottom="2268" w:left="1985" w:header="851" w:footer="85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634E5B"/>
    <w:multiLevelType w:val="hybridMultilevel"/>
    <w:tmpl w:val="8234A57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nsid w:val="5AD31121"/>
    <w:multiLevelType w:val="hybridMultilevel"/>
    <w:tmpl w:val="0388D8FC"/>
    <w:lvl w:ilvl="0" w:tplc="C48486D4">
      <w:numFmt w:val="bullet"/>
      <w:lvlText w:val="-"/>
      <w:lvlJc w:val="left"/>
      <w:pPr>
        <w:ind w:left="704" w:hanging="420"/>
      </w:pPr>
      <w:rPr>
        <w:rFonts w:ascii="Arial" w:eastAsiaTheme="minorHAnsi"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968"/>
    <w:rsid w:val="0000438E"/>
    <w:rsid w:val="00005592"/>
    <w:rsid w:val="0008726A"/>
    <w:rsid w:val="000A6236"/>
    <w:rsid w:val="000D6100"/>
    <w:rsid w:val="000F7BDE"/>
    <w:rsid w:val="001320DB"/>
    <w:rsid w:val="00133E57"/>
    <w:rsid w:val="001359EA"/>
    <w:rsid w:val="00136CD9"/>
    <w:rsid w:val="001616B0"/>
    <w:rsid w:val="001616E3"/>
    <w:rsid w:val="001645D0"/>
    <w:rsid w:val="00182BEB"/>
    <w:rsid w:val="00185C46"/>
    <w:rsid w:val="001B0BF4"/>
    <w:rsid w:val="001F0BAB"/>
    <w:rsid w:val="001F4C61"/>
    <w:rsid w:val="002315FA"/>
    <w:rsid w:val="00265FCB"/>
    <w:rsid w:val="00275DA5"/>
    <w:rsid w:val="002A3387"/>
    <w:rsid w:val="002D19B9"/>
    <w:rsid w:val="002D3D08"/>
    <w:rsid w:val="00330980"/>
    <w:rsid w:val="00363C2D"/>
    <w:rsid w:val="00363F52"/>
    <w:rsid w:val="00392F1C"/>
    <w:rsid w:val="003B2263"/>
    <w:rsid w:val="003E5F0A"/>
    <w:rsid w:val="00414572"/>
    <w:rsid w:val="00414768"/>
    <w:rsid w:val="0048038A"/>
    <w:rsid w:val="00484D83"/>
    <w:rsid w:val="0050437E"/>
    <w:rsid w:val="00504BA6"/>
    <w:rsid w:val="0051243A"/>
    <w:rsid w:val="0051544A"/>
    <w:rsid w:val="00534C75"/>
    <w:rsid w:val="0057323A"/>
    <w:rsid w:val="00577FC6"/>
    <w:rsid w:val="005A56D9"/>
    <w:rsid w:val="005B4297"/>
    <w:rsid w:val="005D5168"/>
    <w:rsid w:val="005E2FE0"/>
    <w:rsid w:val="00636C1A"/>
    <w:rsid w:val="006858B4"/>
    <w:rsid w:val="006A5EA7"/>
    <w:rsid w:val="006F0E73"/>
    <w:rsid w:val="00705564"/>
    <w:rsid w:val="00717459"/>
    <w:rsid w:val="00747816"/>
    <w:rsid w:val="00750168"/>
    <w:rsid w:val="007537AA"/>
    <w:rsid w:val="007679E3"/>
    <w:rsid w:val="007B31DC"/>
    <w:rsid w:val="007B6C28"/>
    <w:rsid w:val="007B72DD"/>
    <w:rsid w:val="007E1AAF"/>
    <w:rsid w:val="00807BA6"/>
    <w:rsid w:val="00831AB6"/>
    <w:rsid w:val="00831D0F"/>
    <w:rsid w:val="008369B6"/>
    <w:rsid w:val="00840330"/>
    <w:rsid w:val="00855313"/>
    <w:rsid w:val="0085647E"/>
    <w:rsid w:val="00860B7A"/>
    <w:rsid w:val="008A14E4"/>
    <w:rsid w:val="008C6C51"/>
    <w:rsid w:val="008E5329"/>
    <w:rsid w:val="008F593D"/>
    <w:rsid w:val="00904AAB"/>
    <w:rsid w:val="0092736A"/>
    <w:rsid w:val="00994139"/>
    <w:rsid w:val="009E45B7"/>
    <w:rsid w:val="009F347F"/>
    <w:rsid w:val="00A40F71"/>
    <w:rsid w:val="00A75E5F"/>
    <w:rsid w:val="00A9577B"/>
    <w:rsid w:val="00AA009F"/>
    <w:rsid w:val="00AA13A3"/>
    <w:rsid w:val="00AA742A"/>
    <w:rsid w:val="00AC1B46"/>
    <w:rsid w:val="00AD3EE0"/>
    <w:rsid w:val="00AE0F7D"/>
    <w:rsid w:val="00AE3E0B"/>
    <w:rsid w:val="00AF7F92"/>
    <w:rsid w:val="00B07514"/>
    <w:rsid w:val="00B16968"/>
    <w:rsid w:val="00B23B97"/>
    <w:rsid w:val="00B33CAA"/>
    <w:rsid w:val="00B37D85"/>
    <w:rsid w:val="00B42F7F"/>
    <w:rsid w:val="00B70B5E"/>
    <w:rsid w:val="00B72165"/>
    <w:rsid w:val="00B919AE"/>
    <w:rsid w:val="00BA2C80"/>
    <w:rsid w:val="00BB5DB8"/>
    <w:rsid w:val="00BD0396"/>
    <w:rsid w:val="00C06C35"/>
    <w:rsid w:val="00C25DE2"/>
    <w:rsid w:val="00C36FF7"/>
    <w:rsid w:val="00C371D3"/>
    <w:rsid w:val="00C42335"/>
    <w:rsid w:val="00C7042D"/>
    <w:rsid w:val="00C75445"/>
    <w:rsid w:val="00CC0DB2"/>
    <w:rsid w:val="00CC44AB"/>
    <w:rsid w:val="00CC4694"/>
    <w:rsid w:val="00CD3917"/>
    <w:rsid w:val="00CF1DE6"/>
    <w:rsid w:val="00CF256C"/>
    <w:rsid w:val="00D15C67"/>
    <w:rsid w:val="00D52E1A"/>
    <w:rsid w:val="00E01AE7"/>
    <w:rsid w:val="00E17ECE"/>
    <w:rsid w:val="00E20E29"/>
    <w:rsid w:val="00E34DA2"/>
    <w:rsid w:val="00E42145"/>
    <w:rsid w:val="00E62FAC"/>
    <w:rsid w:val="00ED3477"/>
    <w:rsid w:val="00EF108A"/>
    <w:rsid w:val="00F257F1"/>
    <w:rsid w:val="00F75264"/>
    <w:rsid w:val="00F93E62"/>
    <w:rsid w:val="00F953BE"/>
    <w:rsid w:val="00FD3C13"/>
    <w:rsid w:val="00FD3E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A4C6C"/>
  <w15:chartTrackingRefBased/>
  <w15:docId w15:val="{40E5A998-D4F5-49B3-8EE8-FE7B73754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705564"/>
    <w:pPr>
      <w:widowControl w:val="0"/>
      <w:spacing w:after="0" w:line="240" w:lineRule="auto"/>
      <w:ind w:firstLine="284"/>
    </w:pPr>
    <w:rPr>
      <w:rFonts w:ascii="Arial" w:hAnsi="Arial" w:cs="Arial"/>
    </w:rPr>
  </w:style>
  <w:style w:type="paragraph" w:styleId="Titolo1">
    <w:name w:val="heading 1"/>
    <w:basedOn w:val="Normale"/>
    <w:next w:val="Normale"/>
    <w:link w:val="Titolo1Carattere"/>
    <w:uiPriority w:val="9"/>
    <w:qFormat/>
    <w:rsid w:val="00182BEB"/>
    <w:pPr>
      <w:spacing w:before="480" w:after="240"/>
      <w:ind w:firstLine="0"/>
      <w:outlineLvl w:val="0"/>
    </w:pPr>
    <w:rPr>
      <w:b/>
      <w:sz w:val="24"/>
    </w:rPr>
  </w:style>
  <w:style w:type="paragraph" w:styleId="Titolo2">
    <w:name w:val="heading 2"/>
    <w:basedOn w:val="Normale"/>
    <w:next w:val="Normale"/>
    <w:link w:val="Titolo2Carattere"/>
    <w:uiPriority w:val="9"/>
    <w:unhideWhenUsed/>
    <w:qFormat/>
    <w:rsid w:val="00182BEB"/>
    <w:pPr>
      <w:keepNext/>
      <w:keepLines/>
      <w:spacing w:before="480" w:after="120"/>
      <w:ind w:firstLine="0"/>
      <w:outlineLvl w:val="1"/>
    </w:pPr>
    <w:rPr>
      <w:rFonts w:eastAsiaTheme="majorEastAsia"/>
      <w:b/>
      <w:i/>
      <w:sz w:val="24"/>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F953BE"/>
    <w:pPr>
      <w:spacing w:after="720"/>
      <w:jc w:val="center"/>
    </w:pPr>
    <w:rPr>
      <w:b/>
      <w:sz w:val="36"/>
    </w:rPr>
  </w:style>
  <w:style w:type="character" w:customStyle="1" w:styleId="TitoloCarattere">
    <w:name w:val="Titolo Carattere"/>
    <w:basedOn w:val="Carpredefinitoparagrafo"/>
    <w:link w:val="Titolo"/>
    <w:uiPriority w:val="10"/>
    <w:rsid w:val="00F953BE"/>
    <w:rPr>
      <w:rFonts w:ascii="Arial" w:hAnsi="Arial" w:cs="Arial"/>
      <w:b/>
      <w:sz w:val="36"/>
    </w:rPr>
  </w:style>
  <w:style w:type="paragraph" w:customStyle="1" w:styleId="Autori">
    <w:name w:val="Autori"/>
    <w:basedOn w:val="Normale"/>
    <w:qFormat/>
    <w:rsid w:val="00F953BE"/>
    <w:pPr>
      <w:spacing w:after="720"/>
    </w:pPr>
    <w:rPr>
      <w:sz w:val="28"/>
    </w:rPr>
  </w:style>
  <w:style w:type="paragraph" w:customStyle="1" w:styleId="Abstracttesto">
    <w:name w:val="Abstract testo"/>
    <w:basedOn w:val="Normale"/>
    <w:qFormat/>
    <w:rsid w:val="00C25DE2"/>
    <w:pPr>
      <w:spacing w:after="480" w:line="240" w:lineRule="atLeast"/>
      <w:jc w:val="both"/>
    </w:pPr>
    <w:rPr>
      <w:sz w:val="20"/>
    </w:rPr>
  </w:style>
  <w:style w:type="character" w:customStyle="1" w:styleId="Titolo1Carattere">
    <w:name w:val="Titolo 1 Carattere"/>
    <w:basedOn w:val="Carpredefinitoparagrafo"/>
    <w:link w:val="Titolo1"/>
    <w:uiPriority w:val="9"/>
    <w:rsid w:val="00182BEB"/>
    <w:rPr>
      <w:rFonts w:ascii="Arial" w:hAnsi="Arial" w:cs="Arial"/>
      <w:b/>
      <w:sz w:val="24"/>
    </w:rPr>
  </w:style>
  <w:style w:type="character" w:customStyle="1" w:styleId="Titolo2Carattere">
    <w:name w:val="Titolo 2 Carattere"/>
    <w:basedOn w:val="Carpredefinitoparagrafo"/>
    <w:link w:val="Titolo2"/>
    <w:uiPriority w:val="9"/>
    <w:rsid w:val="00182BEB"/>
    <w:rPr>
      <w:rFonts w:ascii="Arial" w:eastAsiaTheme="majorEastAsia" w:hAnsi="Arial" w:cs="Arial"/>
      <w:b/>
      <w:i/>
      <w:sz w:val="24"/>
      <w:szCs w:val="26"/>
    </w:rPr>
  </w:style>
  <w:style w:type="character" w:styleId="Collegamentoipertestuale">
    <w:name w:val="Hyperlink"/>
    <w:basedOn w:val="Carpredefinitoparagrafo"/>
    <w:uiPriority w:val="99"/>
    <w:unhideWhenUsed/>
    <w:rsid w:val="001645D0"/>
    <w:rPr>
      <w:color w:val="0563C1" w:themeColor="hyperlink"/>
      <w:u w:val="single"/>
    </w:rPr>
  </w:style>
  <w:style w:type="paragraph" w:styleId="Paragrafoelenco">
    <w:name w:val="List Paragraph"/>
    <w:basedOn w:val="Normale"/>
    <w:uiPriority w:val="34"/>
    <w:qFormat/>
    <w:rsid w:val="00AA009F"/>
    <w:pPr>
      <w:ind w:left="720"/>
      <w:contextualSpacing/>
    </w:pPr>
  </w:style>
  <w:style w:type="character" w:styleId="Rimandocommento">
    <w:name w:val="annotation reference"/>
    <w:basedOn w:val="Carpredefinitoparagrafo"/>
    <w:uiPriority w:val="99"/>
    <w:semiHidden/>
    <w:unhideWhenUsed/>
    <w:rsid w:val="00275DA5"/>
    <w:rPr>
      <w:sz w:val="18"/>
      <w:szCs w:val="18"/>
    </w:rPr>
  </w:style>
  <w:style w:type="paragraph" w:styleId="Testocommento">
    <w:name w:val="annotation text"/>
    <w:basedOn w:val="Normale"/>
    <w:link w:val="TestocommentoCarattere"/>
    <w:uiPriority w:val="99"/>
    <w:semiHidden/>
    <w:unhideWhenUsed/>
    <w:rsid w:val="00275DA5"/>
    <w:rPr>
      <w:sz w:val="24"/>
      <w:szCs w:val="24"/>
    </w:rPr>
  </w:style>
  <w:style w:type="character" w:customStyle="1" w:styleId="TestocommentoCarattere">
    <w:name w:val="Testo commento Carattere"/>
    <w:basedOn w:val="Carpredefinitoparagrafo"/>
    <w:link w:val="Testocommento"/>
    <w:uiPriority w:val="99"/>
    <w:semiHidden/>
    <w:rsid w:val="00275DA5"/>
    <w:rPr>
      <w:sz w:val="24"/>
      <w:szCs w:val="24"/>
    </w:rPr>
  </w:style>
  <w:style w:type="paragraph" w:styleId="Soggettocommento">
    <w:name w:val="annotation subject"/>
    <w:basedOn w:val="Testocommento"/>
    <w:next w:val="Testocommento"/>
    <w:link w:val="SoggettocommentoCarattere"/>
    <w:uiPriority w:val="99"/>
    <w:semiHidden/>
    <w:unhideWhenUsed/>
    <w:rsid w:val="00275DA5"/>
    <w:rPr>
      <w:b/>
      <w:bCs/>
      <w:sz w:val="20"/>
      <w:szCs w:val="20"/>
    </w:rPr>
  </w:style>
  <w:style w:type="character" w:customStyle="1" w:styleId="SoggettocommentoCarattere">
    <w:name w:val="Soggetto commento Carattere"/>
    <w:basedOn w:val="TestocommentoCarattere"/>
    <w:link w:val="Soggettocommento"/>
    <w:uiPriority w:val="99"/>
    <w:semiHidden/>
    <w:rsid w:val="00275DA5"/>
    <w:rPr>
      <w:b/>
      <w:bCs/>
      <w:sz w:val="20"/>
      <w:szCs w:val="20"/>
    </w:rPr>
  </w:style>
  <w:style w:type="paragraph" w:styleId="Testofumetto">
    <w:name w:val="Balloon Text"/>
    <w:basedOn w:val="Normale"/>
    <w:link w:val="TestofumettoCarattere"/>
    <w:uiPriority w:val="99"/>
    <w:semiHidden/>
    <w:unhideWhenUsed/>
    <w:rsid w:val="00275DA5"/>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275DA5"/>
    <w:rPr>
      <w:rFonts w:ascii="Times New Roman" w:hAnsi="Times New Roman" w:cs="Times New Roman"/>
      <w:sz w:val="18"/>
      <w:szCs w:val="18"/>
    </w:rPr>
  </w:style>
  <w:style w:type="paragraph" w:styleId="Didascalia">
    <w:name w:val="caption"/>
    <w:basedOn w:val="Normale"/>
    <w:next w:val="Normale"/>
    <w:uiPriority w:val="35"/>
    <w:unhideWhenUsed/>
    <w:qFormat/>
    <w:rsid w:val="00F75264"/>
    <w:pPr>
      <w:spacing w:after="200"/>
    </w:pPr>
    <w:rPr>
      <w:i/>
      <w:iCs/>
      <w:color w:val="44546A" w:themeColor="text2"/>
      <w:sz w:val="18"/>
      <w:szCs w:val="18"/>
    </w:rPr>
  </w:style>
  <w:style w:type="table" w:styleId="Grigliatabella">
    <w:name w:val="Table Grid"/>
    <w:basedOn w:val="Tabellanormale"/>
    <w:uiPriority w:val="39"/>
    <w:rsid w:val="001616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visitato">
    <w:name w:val="FollowedHyperlink"/>
    <w:basedOn w:val="Carpredefinitoparagrafo"/>
    <w:uiPriority w:val="99"/>
    <w:semiHidden/>
    <w:unhideWhenUsed/>
    <w:rsid w:val="00AE3E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prospettiveinorganizzazione.assioa.it/condividere-la-conoscenza-per-far-progredire-larcheologia-implicazioni-organizzative-e-tecnologiche-braccini-federici" TargetMode="External"/><Relationship Id="rId7" Type="http://schemas.openxmlformats.org/officeDocument/2006/relationships/hyperlink" Target="http://www.icpsr.umich.edu/icpsrweb/sumprog/" TargetMode="External"/><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46A53C-D7ED-1C40-A553-AF5C0EF5EAA9}" type="doc">
      <dgm:prSet loTypeId="urn:microsoft.com/office/officeart/2005/8/layout/orgChart1" loCatId="" qsTypeId="urn:microsoft.com/office/officeart/2005/8/quickstyle/simple4" qsCatId="simple" csTypeId="urn:microsoft.com/office/officeart/2005/8/colors/accent0_2" csCatId="mainScheme" phldr="1"/>
      <dgm:spPr/>
      <dgm:t>
        <a:bodyPr/>
        <a:lstStyle/>
        <a:p>
          <a:endParaRPr lang="it-IT"/>
        </a:p>
      </dgm:t>
    </dgm:pt>
    <dgm:pt modelId="{B7BEFDBE-55D0-034C-8880-E11F96FA2F93}">
      <dgm:prSet phldrT="[Testo]"/>
      <dgm:spPr/>
      <dgm:t>
        <a:bodyPr/>
        <a:lstStyle/>
        <a:p>
          <a:r>
            <a:rPr lang="it-IT"/>
            <a:t>Direzione</a:t>
          </a:r>
        </a:p>
      </dgm:t>
    </dgm:pt>
    <dgm:pt modelId="{3C0D5129-5365-3844-B5BD-94E649C718F3}" type="parTrans" cxnId="{B810480B-85C7-FF41-BCE6-D3A7199E4D9F}">
      <dgm:prSet/>
      <dgm:spPr/>
      <dgm:t>
        <a:bodyPr/>
        <a:lstStyle/>
        <a:p>
          <a:endParaRPr lang="it-IT"/>
        </a:p>
      </dgm:t>
    </dgm:pt>
    <dgm:pt modelId="{5A66033B-9E28-784D-AE3A-BAC1FF7DC436}" type="sibTrans" cxnId="{B810480B-85C7-FF41-BCE6-D3A7199E4D9F}">
      <dgm:prSet/>
      <dgm:spPr/>
      <dgm:t>
        <a:bodyPr/>
        <a:lstStyle/>
        <a:p>
          <a:endParaRPr lang="it-IT"/>
        </a:p>
      </dgm:t>
    </dgm:pt>
    <dgm:pt modelId="{5238CDC8-0AD1-164C-B402-026D3F06DE62}">
      <dgm:prSet phldrT="[Testo]"/>
      <dgm:spPr/>
      <dgm:t>
        <a:bodyPr/>
        <a:lstStyle/>
        <a:p>
          <a:r>
            <a:rPr lang="it-IT"/>
            <a:t>Archeologia</a:t>
          </a:r>
        </a:p>
      </dgm:t>
    </dgm:pt>
    <dgm:pt modelId="{655A03FF-F7FE-304D-8C54-4778F2587626}" type="parTrans" cxnId="{659D9524-F7E2-474E-917C-A106F8BC4D0C}">
      <dgm:prSet/>
      <dgm:spPr/>
      <dgm:t>
        <a:bodyPr/>
        <a:lstStyle/>
        <a:p>
          <a:endParaRPr lang="it-IT"/>
        </a:p>
      </dgm:t>
    </dgm:pt>
    <dgm:pt modelId="{08432C25-BD24-C44F-BEA0-CED3C45EDF64}" type="sibTrans" cxnId="{659D9524-F7E2-474E-917C-A106F8BC4D0C}">
      <dgm:prSet/>
      <dgm:spPr/>
      <dgm:t>
        <a:bodyPr/>
        <a:lstStyle/>
        <a:p>
          <a:endParaRPr lang="it-IT"/>
        </a:p>
      </dgm:t>
    </dgm:pt>
    <dgm:pt modelId="{55024305-194D-6249-84AB-97BF05EBA6C4}">
      <dgm:prSet phldrT="[Testo]"/>
      <dgm:spPr/>
      <dgm:t>
        <a:bodyPr/>
        <a:lstStyle/>
        <a:p>
          <a:r>
            <a:rPr lang="it-IT"/>
            <a:t>Restauro</a:t>
          </a:r>
        </a:p>
      </dgm:t>
    </dgm:pt>
    <dgm:pt modelId="{FE3E9ED0-E93D-C547-BEAE-A8F6ED9A6A3F}" type="parTrans" cxnId="{9892571E-3BF9-364F-A35F-24FA65EA4C4F}">
      <dgm:prSet/>
      <dgm:spPr/>
      <dgm:t>
        <a:bodyPr/>
        <a:lstStyle/>
        <a:p>
          <a:endParaRPr lang="it-IT"/>
        </a:p>
      </dgm:t>
    </dgm:pt>
    <dgm:pt modelId="{CD7F4F00-BC42-A947-B482-55B60CAA797A}" type="sibTrans" cxnId="{9892571E-3BF9-364F-A35F-24FA65EA4C4F}">
      <dgm:prSet/>
      <dgm:spPr/>
      <dgm:t>
        <a:bodyPr/>
        <a:lstStyle/>
        <a:p>
          <a:endParaRPr lang="it-IT"/>
        </a:p>
      </dgm:t>
    </dgm:pt>
    <dgm:pt modelId="{D13725ED-0D39-0D4B-900D-35693F5FF534}">
      <dgm:prSet phldrT="[Testo]"/>
      <dgm:spPr/>
      <dgm:t>
        <a:bodyPr/>
        <a:lstStyle/>
        <a:p>
          <a:r>
            <a:rPr lang="it-IT"/>
            <a:t>Area tecnica</a:t>
          </a:r>
        </a:p>
      </dgm:t>
    </dgm:pt>
    <dgm:pt modelId="{2AA27178-C10E-E745-9CEB-30D8C75F9EFF}" type="parTrans" cxnId="{B1610206-3286-5B4E-9228-F0936DA569A9}">
      <dgm:prSet/>
      <dgm:spPr/>
      <dgm:t>
        <a:bodyPr/>
        <a:lstStyle/>
        <a:p>
          <a:endParaRPr lang="it-IT"/>
        </a:p>
      </dgm:t>
    </dgm:pt>
    <dgm:pt modelId="{55D9C387-D516-F549-9BB6-084D228F1647}" type="sibTrans" cxnId="{B1610206-3286-5B4E-9228-F0936DA569A9}">
      <dgm:prSet/>
      <dgm:spPr/>
      <dgm:t>
        <a:bodyPr/>
        <a:lstStyle/>
        <a:p>
          <a:endParaRPr lang="it-IT"/>
        </a:p>
      </dgm:t>
    </dgm:pt>
    <dgm:pt modelId="{AC8C7C4F-CD62-9946-9DCF-47EAFA270113}">
      <dgm:prSet phldrT="[Testo]"/>
      <dgm:spPr/>
      <dgm:t>
        <a:bodyPr/>
        <a:lstStyle/>
        <a:p>
          <a:r>
            <a:rPr lang="it-IT"/>
            <a:t>Archivio</a:t>
          </a:r>
        </a:p>
      </dgm:t>
    </dgm:pt>
    <dgm:pt modelId="{E8DF6E73-7AFC-B04D-AA7F-4060CAB5D4D0}" type="parTrans" cxnId="{97691004-3AFA-3341-963A-65C2DED6202D}">
      <dgm:prSet/>
      <dgm:spPr/>
      <dgm:t>
        <a:bodyPr/>
        <a:lstStyle/>
        <a:p>
          <a:endParaRPr lang="it-IT"/>
        </a:p>
      </dgm:t>
    </dgm:pt>
    <dgm:pt modelId="{9153CA82-0657-654D-A9A1-B365653D7150}" type="sibTrans" cxnId="{97691004-3AFA-3341-963A-65C2DED6202D}">
      <dgm:prSet/>
      <dgm:spPr/>
      <dgm:t>
        <a:bodyPr/>
        <a:lstStyle/>
        <a:p>
          <a:endParaRPr lang="it-IT"/>
        </a:p>
      </dgm:t>
    </dgm:pt>
    <dgm:pt modelId="{4EC1AA61-FDE8-264F-BB39-CC76580411C9}">
      <dgm:prSet phldrT="[Testo]"/>
      <dgm:spPr/>
      <dgm:t>
        <a:bodyPr/>
        <a:lstStyle/>
        <a:p>
          <a:r>
            <a:rPr lang="it-IT"/>
            <a:t>Amministrazione</a:t>
          </a:r>
        </a:p>
      </dgm:t>
    </dgm:pt>
    <dgm:pt modelId="{E283420E-50A8-E546-8AC7-69363A1C1742}" type="parTrans" cxnId="{1F7398F6-3D4A-A44C-AB2A-8016B4A1C911}">
      <dgm:prSet/>
      <dgm:spPr/>
      <dgm:t>
        <a:bodyPr/>
        <a:lstStyle/>
        <a:p>
          <a:endParaRPr lang="it-IT"/>
        </a:p>
      </dgm:t>
    </dgm:pt>
    <dgm:pt modelId="{BDF3C58B-A854-894A-BF32-9F58882DA12B}" type="sibTrans" cxnId="{1F7398F6-3D4A-A44C-AB2A-8016B4A1C911}">
      <dgm:prSet/>
      <dgm:spPr/>
      <dgm:t>
        <a:bodyPr/>
        <a:lstStyle/>
        <a:p>
          <a:endParaRPr lang="it-IT"/>
        </a:p>
      </dgm:t>
    </dgm:pt>
    <dgm:pt modelId="{5B4084F4-B4BA-314E-B215-ED6023AAFA66}">
      <dgm:prSet phldrT="[Testo]"/>
      <dgm:spPr/>
      <dgm:t>
        <a:bodyPr/>
        <a:lstStyle/>
        <a:p>
          <a:r>
            <a:rPr lang="it-IT"/>
            <a:t>Conservazione</a:t>
          </a:r>
        </a:p>
      </dgm:t>
    </dgm:pt>
    <dgm:pt modelId="{D4C88EA2-CE8F-1940-8867-4940A3272ADD}" type="parTrans" cxnId="{27DA496A-440A-134F-A1B2-6D2814490EB2}">
      <dgm:prSet/>
      <dgm:spPr/>
      <dgm:t>
        <a:bodyPr/>
        <a:lstStyle/>
        <a:p>
          <a:endParaRPr lang="it-IT"/>
        </a:p>
      </dgm:t>
    </dgm:pt>
    <dgm:pt modelId="{53A7B329-1EFC-DC4C-A668-74D75963820F}" type="sibTrans" cxnId="{27DA496A-440A-134F-A1B2-6D2814490EB2}">
      <dgm:prSet/>
      <dgm:spPr/>
      <dgm:t>
        <a:bodyPr/>
        <a:lstStyle/>
        <a:p>
          <a:endParaRPr lang="it-IT"/>
        </a:p>
      </dgm:t>
    </dgm:pt>
    <dgm:pt modelId="{6D8C46DB-15CD-1B49-8701-21FABD7D11A0}" type="pres">
      <dgm:prSet presAssocID="{6446A53C-D7ED-1C40-A553-AF5C0EF5EAA9}" presName="hierChild1" presStyleCnt="0">
        <dgm:presLayoutVars>
          <dgm:orgChart val="1"/>
          <dgm:chPref val="1"/>
          <dgm:dir/>
          <dgm:animOne val="branch"/>
          <dgm:animLvl val="lvl"/>
          <dgm:resizeHandles/>
        </dgm:presLayoutVars>
      </dgm:prSet>
      <dgm:spPr/>
      <dgm:t>
        <a:bodyPr/>
        <a:lstStyle/>
        <a:p>
          <a:endParaRPr lang="it-IT"/>
        </a:p>
      </dgm:t>
    </dgm:pt>
    <dgm:pt modelId="{6AEC999B-9052-9D45-940D-17EF4ED4CE57}" type="pres">
      <dgm:prSet presAssocID="{B7BEFDBE-55D0-034C-8880-E11F96FA2F93}" presName="hierRoot1" presStyleCnt="0">
        <dgm:presLayoutVars>
          <dgm:hierBranch val="init"/>
        </dgm:presLayoutVars>
      </dgm:prSet>
      <dgm:spPr/>
    </dgm:pt>
    <dgm:pt modelId="{156666D6-7696-7541-807B-7B84F4B3A8E4}" type="pres">
      <dgm:prSet presAssocID="{B7BEFDBE-55D0-034C-8880-E11F96FA2F93}" presName="rootComposite1" presStyleCnt="0"/>
      <dgm:spPr/>
    </dgm:pt>
    <dgm:pt modelId="{A2E0C3BF-BF20-4046-891F-45F99E6AD089}" type="pres">
      <dgm:prSet presAssocID="{B7BEFDBE-55D0-034C-8880-E11F96FA2F93}" presName="rootText1" presStyleLbl="node0" presStyleIdx="0" presStyleCnt="1">
        <dgm:presLayoutVars>
          <dgm:chPref val="3"/>
        </dgm:presLayoutVars>
      </dgm:prSet>
      <dgm:spPr/>
      <dgm:t>
        <a:bodyPr/>
        <a:lstStyle/>
        <a:p>
          <a:endParaRPr lang="it-IT"/>
        </a:p>
      </dgm:t>
    </dgm:pt>
    <dgm:pt modelId="{070367BB-F789-904B-AE98-AA40AFFC875E}" type="pres">
      <dgm:prSet presAssocID="{B7BEFDBE-55D0-034C-8880-E11F96FA2F93}" presName="rootConnector1" presStyleLbl="node1" presStyleIdx="0" presStyleCnt="0"/>
      <dgm:spPr/>
      <dgm:t>
        <a:bodyPr/>
        <a:lstStyle/>
        <a:p>
          <a:endParaRPr lang="it-IT"/>
        </a:p>
      </dgm:t>
    </dgm:pt>
    <dgm:pt modelId="{55FD9C4C-D45C-1942-9440-B473BF62377C}" type="pres">
      <dgm:prSet presAssocID="{B7BEFDBE-55D0-034C-8880-E11F96FA2F93}" presName="hierChild2" presStyleCnt="0"/>
      <dgm:spPr/>
    </dgm:pt>
    <dgm:pt modelId="{672EE58C-694C-664F-88ED-5D2996B76D16}" type="pres">
      <dgm:prSet presAssocID="{655A03FF-F7FE-304D-8C54-4778F2587626}" presName="Name37" presStyleLbl="parChTrans1D2" presStyleIdx="0" presStyleCnt="6"/>
      <dgm:spPr/>
      <dgm:t>
        <a:bodyPr/>
        <a:lstStyle/>
        <a:p>
          <a:endParaRPr lang="it-IT"/>
        </a:p>
      </dgm:t>
    </dgm:pt>
    <dgm:pt modelId="{44B7C5DA-6328-C045-A9A7-6A0380A17EBD}" type="pres">
      <dgm:prSet presAssocID="{5238CDC8-0AD1-164C-B402-026D3F06DE62}" presName="hierRoot2" presStyleCnt="0">
        <dgm:presLayoutVars>
          <dgm:hierBranch val="init"/>
        </dgm:presLayoutVars>
      </dgm:prSet>
      <dgm:spPr/>
    </dgm:pt>
    <dgm:pt modelId="{30E014B1-D8B3-CF4D-9DF6-5E2E5C5401DC}" type="pres">
      <dgm:prSet presAssocID="{5238CDC8-0AD1-164C-B402-026D3F06DE62}" presName="rootComposite" presStyleCnt="0"/>
      <dgm:spPr/>
    </dgm:pt>
    <dgm:pt modelId="{09D8BFA6-0226-684F-AC89-F8AD74B34F43}" type="pres">
      <dgm:prSet presAssocID="{5238CDC8-0AD1-164C-B402-026D3F06DE62}" presName="rootText" presStyleLbl="node2" presStyleIdx="0" presStyleCnt="6">
        <dgm:presLayoutVars>
          <dgm:chPref val="3"/>
        </dgm:presLayoutVars>
      </dgm:prSet>
      <dgm:spPr/>
      <dgm:t>
        <a:bodyPr/>
        <a:lstStyle/>
        <a:p>
          <a:endParaRPr lang="it-IT"/>
        </a:p>
      </dgm:t>
    </dgm:pt>
    <dgm:pt modelId="{0F82CBC5-7815-BD4F-808B-55FD3C86B5FF}" type="pres">
      <dgm:prSet presAssocID="{5238CDC8-0AD1-164C-B402-026D3F06DE62}" presName="rootConnector" presStyleLbl="node2" presStyleIdx="0" presStyleCnt="6"/>
      <dgm:spPr/>
      <dgm:t>
        <a:bodyPr/>
        <a:lstStyle/>
        <a:p>
          <a:endParaRPr lang="it-IT"/>
        </a:p>
      </dgm:t>
    </dgm:pt>
    <dgm:pt modelId="{CF1CEB0B-1B82-F546-8C3E-B5C88E132DE1}" type="pres">
      <dgm:prSet presAssocID="{5238CDC8-0AD1-164C-B402-026D3F06DE62}" presName="hierChild4" presStyleCnt="0"/>
      <dgm:spPr/>
    </dgm:pt>
    <dgm:pt modelId="{3DE00DD2-B235-784A-9E02-BBC9F2E5777E}" type="pres">
      <dgm:prSet presAssocID="{5238CDC8-0AD1-164C-B402-026D3F06DE62}" presName="hierChild5" presStyleCnt="0"/>
      <dgm:spPr/>
    </dgm:pt>
    <dgm:pt modelId="{FBFD607D-F99C-ED41-8017-9EBC740C982F}" type="pres">
      <dgm:prSet presAssocID="{FE3E9ED0-E93D-C547-BEAE-A8F6ED9A6A3F}" presName="Name37" presStyleLbl="parChTrans1D2" presStyleIdx="1" presStyleCnt="6"/>
      <dgm:spPr/>
      <dgm:t>
        <a:bodyPr/>
        <a:lstStyle/>
        <a:p>
          <a:endParaRPr lang="it-IT"/>
        </a:p>
      </dgm:t>
    </dgm:pt>
    <dgm:pt modelId="{6B278D9B-424C-824F-AE7B-4C2E0FBC94B1}" type="pres">
      <dgm:prSet presAssocID="{55024305-194D-6249-84AB-97BF05EBA6C4}" presName="hierRoot2" presStyleCnt="0">
        <dgm:presLayoutVars>
          <dgm:hierBranch val="init"/>
        </dgm:presLayoutVars>
      </dgm:prSet>
      <dgm:spPr/>
    </dgm:pt>
    <dgm:pt modelId="{7B90522E-A382-7D45-B286-D0FD2EAFD07B}" type="pres">
      <dgm:prSet presAssocID="{55024305-194D-6249-84AB-97BF05EBA6C4}" presName="rootComposite" presStyleCnt="0"/>
      <dgm:spPr/>
    </dgm:pt>
    <dgm:pt modelId="{B0746A0A-BF37-6942-9C35-DFAF3E6EAFBC}" type="pres">
      <dgm:prSet presAssocID="{55024305-194D-6249-84AB-97BF05EBA6C4}" presName="rootText" presStyleLbl="node2" presStyleIdx="1" presStyleCnt="6">
        <dgm:presLayoutVars>
          <dgm:chPref val="3"/>
        </dgm:presLayoutVars>
      </dgm:prSet>
      <dgm:spPr/>
      <dgm:t>
        <a:bodyPr/>
        <a:lstStyle/>
        <a:p>
          <a:endParaRPr lang="it-IT"/>
        </a:p>
      </dgm:t>
    </dgm:pt>
    <dgm:pt modelId="{E7FD8D99-BA6A-1D42-9380-A023C40B135D}" type="pres">
      <dgm:prSet presAssocID="{55024305-194D-6249-84AB-97BF05EBA6C4}" presName="rootConnector" presStyleLbl="node2" presStyleIdx="1" presStyleCnt="6"/>
      <dgm:spPr/>
      <dgm:t>
        <a:bodyPr/>
        <a:lstStyle/>
        <a:p>
          <a:endParaRPr lang="it-IT"/>
        </a:p>
      </dgm:t>
    </dgm:pt>
    <dgm:pt modelId="{D7EC18D1-6EB3-0448-B9F2-EC115AA7CCCB}" type="pres">
      <dgm:prSet presAssocID="{55024305-194D-6249-84AB-97BF05EBA6C4}" presName="hierChild4" presStyleCnt="0"/>
      <dgm:spPr/>
    </dgm:pt>
    <dgm:pt modelId="{8BBB9CFD-0D2F-D740-85F6-1083B66D617E}" type="pres">
      <dgm:prSet presAssocID="{55024305-194D-6249-84AB-97BF05EBA6C4}" presName="hierChild5" presStyleCnt="0"/>
      <dgm:spPr/>
    </dgm:pt>
    <dgm:pt modelId="{1460CE88-DF56-A84D-B1FE-079B837B1D87}" type="pres">
      <dgm:prSet presAssocID="{D4C88EA2-CE8F-1940-8867-4940A3272ADD}" presName="Name37" presStyleLbl="parChTrans1D2" presStyleIdx="2" presStyleCnt="6"/>
      <dgm:spPr/>
      <dgm:t>
        <a:bodyPr/>
        <a:lstStyle/>
        <a:p>
          <a:endParaRPr lang="it-IT"/>
        </a:p>
      </dgm:t>
    </dgm:pt>
    <dgm:pt modelId="{D7E92DB3-83CD-5D45-8E71-C5262FCDEED8}" type="pres">
      <dgm:prSet presAssocID="{5B4084F4-B4BA-314E-B215-ED6023AAFA66}" presName="hierRoot2" presStyleCnt="0">
        <dgm:presLayoutVars>
          <dgm:hierBranch val="init"/>
        </dgm:presLayoutVars>
      </dgm:prSet>
      <dgm:spPr/>
    </dgm:pt>
    <dgm:pt modelId="{0CA71C4C-4BDE-464F-94F5-415418E34307}" type="pres">
      <dgm:prSet presAssocID="{5B4084F4-B4BA-314E-B215-ED6023AAFA66}" presName="rootComposite" presStyleCnt="0"/>
      <dgm:spPr/>
    </dgm:pt>
    <dgm:pt modelId="{6F015B7D-3A1B-824A-861E-CCAE63A269BB}" type="pres">
      <dgm:prSet presAssocID="{5B4084F4-B4BA-314E-B215-ED6023AAFA66}" presName="rootText" presStyleLbl="node2" presStyleIdx="2" presStyleCnt="6" custAng="0">
        <dgm:presLayoutVars>
          <dgm:chPref val="3"/>
        </dgm:presLayoutVars>
      </dgm:prSet>
      <dgm:spPr/>
      <dgm:t>
        <a:bodyPr/>
        <a:lstStyle/>
        <a:p>
          <a:endParaRPr lang="it-IT"/>
        </a:p>
      </dgm:t>
    </dgm:pt>
    <dgm:pt modelId="{C9E06175-B9B2-1044-8509-4D0166C41130}" type="pres">
      <dgm:prSet presAssocID="{5B4084F4-B4BA-314E-B215-ED6023AAFA66}" presName="rootConnector" presStyleLbl="node2" presStyleIdx="2" presStyleCnt="6"/>
      <dgm:spPr/>
      <dgm:t>
        <a:bodyPr/>
        <a:lstStyle/>
        <a:p>
          <a:endParaRPr lang="it-IT"/>
        </a:p>
      </dgm:t>
    </dgm:pt>
    <dgm:pt modelId="{0405DCD8-0562-1C44-ACFB-1D83ECD431BE}" type="pres">
      <dgm:prSet presAssocID="{5B4084F4-B4BA-314E-B215-ED6023AAFA66}" presName="hierChild4" presStyleCnt="0"/>
      <dgm:spPr/>
    </dgm:pt>
    <dgm:pt modelId="{ECA768D6-CA72-7D4A-BD20-DDDD0965C52F}" type="pres">
      <dgm:prSet presAssocID="{5B4084F4-B4BA-314E-B215-ED6023AAFA66}" presName="hierChild5" presStyleCnt="0"/>
      <dgm:spPr/>
    </dgm:pt>
    <dgm:pt modelId="{19ED1128-1B04-BB40-AB74-80B827236FFD}" type="pres">
      <dgm:prSet presAssocID="{2AA27178-C10E-E745-9CEB-30D8C75F9EFF}" presName="Name37" presStyleLbl="parChTrans1D2" presStyleIdx="3" presStyleCnt="6"/>
      <dgm:spPr/>
      <dgm:t>
        <a:bodyPr/>
        <a:lstStyle/>
        <a:p>
          <a:endParaRPr lang="it-IT"/>
        </a:p>
      </dgm:t>
    </dgm:pt>
    <dgm:pt modelId="{6314566A-8C58-BF47-AD4A-34D63784E924}" type="pres">
      <dgm:prSet presAssocID="{D13725ED-0D39-0D4B-900D-35693F5FF534}" presName="hierRoot2" presStyleCnt="0">
        <dgm:presLayoutVars>
          <dgm:hierBranch val="init"/>
        </dgm:presLayoutVars>
      </dgm:prSet>
      <dgm:spPr/>
    </dgm:pt>
    <dgm:pt modelId="{FEB2B907-9FFB-0F49-ACBB-45EB8CE38307}" type="pres">
      <dgm:prSet presAssocID="{D13725ED-0D39-0D4B-900D-35693F5FF534}" presName="rootComposite" presStyleCnt="0"/>
      <dgm:spPr/>
    </dgm:pt>
    <dgm:pt modelId="{17C2C5BB-FFD2-8649-9338-120D654E5050}" type="pres">
      <dgm:prSet presAssocID="{D13725ED-0D39-0D4B-900D-35693F5FF534}" presName="rootText" presStyleLbl="node2" presStyleIdx="3" presStyleCnt="6">
        <dgm:presLayoutVars>
          <dgm:chPref val="3"/>
        </dgm:presLayoutVars>
      </dgm:prSet>
      <dgm:spPr/>
      <dgm:t>
        <a:bodyPr/>
        <a:lstStyle/>
        <a:p>
          <a:endParaRPr lang="it-IT"/>
        </a:p>
      </dgm:t>
    </dgm:pt>
    <dgm:pt modelId="{0E161DDB-2A32-2D45-B0AD-C4ADC186B442}" type="pres">
      <dgm:prSet presAssocID="{D13725ED-0D39-0D4B-900D-35693F5FF534}" presName="rootConnector" presStyleLbl="node2" presStyleIdx="3" presStyleCnt="6"/>
      <dgm:spPr/>
      <dgm:t>
        <a:bodyPr/>
        <a:lstStyle/>
        <a:p>
          <a:endParaRPr lang="it-IT"/>
        </a:p>
      </dgm:t>
    </dgm:pt>
    <dgm:pt modelId="{A53983C0-D037-1F4D-8553-B1D3FAC2C893}" type="pres">
      <dgm:prSet presAssocID="{D13725ED-0D39-0D4B-900D-35693F5FF534}" presName="hierChild4" presStyleCnt="0"/>
      <dgm:spPr/>
    </dgm:pt>
    <dgm:pt modelId="{3CC2F0B5-2E36-9C46-B73D-D7E123CCE602}" type="pres">
      <dgm:prSet presAssocID="{D13725ED-0D39-0D4B-900D-35693F5FF534}" presName="hierChild5" presStyleCnt="0"/>
      <dgm:spPr/>
    </dgm:pt>
    <dgm:pt modelId="{D5B510D5-DAF8-C243-BC6F-F82D11113821}" type="pres">
      <dgm:prSet presAssocID="{E8DF6E73-7AFC-B04D-AA7F-4060CAB5D4D0}" presName="Name37" presStyleLbl="parChTrans1D2" presStyleIdx="4" presStyleCnt="6"/>
      <dgm:spPr/>
      <dgm:t>
        <a:bodyPr/>
        <a:lstStyle/>
        <a:p>
          <a:endParaRPr lang="it-IT"/>
        </a:p>
      </dgm:t>
    </dgm:pt>
    <dgm:pt modelId="{0E67F0C5-898E-4F43-83A0-191328C895CF}" type="pres">
      <dgm:prSet presAssocID="{AC8C7C4F-CD62-9946-9DCF-47EAFA270113}" presName="hierRoot2" presStyleCnt="0">
        <dgm:presLayoutVars>
          <dgm:hierBranch val="init"/>
        </dgm:presLayoutVars>
      </dgm:prSet>
      <dgm:spPr/>
    </dgm:pt>
    <dgm:pt modelId="{5A34440C-E4C7-FC4D-B2DB-429968E268B4}" type="pres">
      <dgm:prSet presAssocID="{AC8C7C4F-CD62-9946-9DCF-47EAFA270113}" presName="rootComposite" presStyleCnt="0"/>
      <dgm:spPr/>
    </dgm:pt>
    <dgm:pt modelId="{7713E408-9931-8242-BA9C-A9E0A63D2FDB}" type="pres">
      <dgm:prSet presAssocID="{AC8C7C4F-CD62-9946-9DCF-47EAFA270113}" presName="rootText" presStyleLbl="node2" presStyleIdx="4" presStyleCnt="6">
        <dgm:presLayoutVars>
          <dgm:chPref val="3"/>
        </dgm:presLayoutVars>
      </dgm:prSet>
      <dgm:spPr/>
      <dgm:t>
        <a:bodyPr/>
        <a:lstStyle/>
        <a:p>
          <a:endParaRPr lang="it-IT"/>
        </a:p>
      </dgm:t>
    </dgm:pt>
    <dgm:pt modelId="{D8F8358A-F008-B04E-A027-1FEE982BECF8}" type="pres">
      <dgm:prSet presAssocID="{AC8C7C4F-CD62-9946-9DCF-47EAFA270113}" presName="rootConnector" presStyleLbl="node2" presStyleIdx="4" presStyleCnt="6"/>
      <dgm:spPr/>
      <dgm:t>
        <a:bodyPr/>
        <a:lstStyle/>
        <a:p>
          <a:endParaRPr lang="it-IT"/>
        </a:p>
      </dgm:t>
    </dgm:pt>
    <dgm:pt modelId="{3FE0BF39-CAD0-DB43-B1A6-8B470108D4EE}" type="pres">
      <dgm:prSet presAssocID="{AC8C7C4F-CD62-9946-9DCF-47EAFA270113}" presName="hierChild4" presStyleCnt="0"/>
      <dgm:spPr/>
    </dgm:pt>
    <dgm:pt modelId="{5E1EEA2E-49AD-1B43-92FB-851093FE8A2A}" type="pres">
      <dgm:prSet presAssocID="{AC8C7C4F-CD62-9946-9DCF-47EAFA270113}" presName="hierChild5" presStyleCnt="0"/>
      <dgm:spPr/>
    </dgm:pt>
    <dgm:pt modelId="{22DED44B-AA48-EA48-B392-EF04774F4D77}" type="pres">
      <dgm:prSet presAssocID="{E283420E-50A8-E546-8AC7-69363A1C1742}" presName="Name37" presStyleLbl="parChTrans1D2" presStyleIdx="5" presStyleCnt="6"/>
      <dgm:spPr/>
      <dgm:t>
        <a:bodyPr/>
        <a:lstStyle/>
        <a:p>
          <a:endParaRPr lang="it-IT"/>
        </a:p>
      </dgm:t>
    </dgm:pt>
    <dgm:pt modelId="{274C5C8B-37D7-3147-B749-D9511CF0AEED}" type="pres">
      <dgm:prSet presAssocID="{4EC1AA61-FDE8-264F-BB39-CC76580411C9}" presName="hierRoot2" presStyleCnt="0">
        <dgm:presLayoutVars>
          <dgm:hierBranch val="init"/>
        </dgm:presLayoutVars>
      </dgm:prSet>
      <dgm:spPr/>
    </dgm:pt>
    <dgm:pt modelId="{9B22DD5B-AE35-7643-BF4E-4AD76F789A66}" type="pres">
      <dgm:prSet presAssocID="{4EC1AA61-FDE8-264F-BB39-CC76580411C9}" presName="rootComposite" presStyleCnt="0"/>
      <dgm:spPr/>
    </dgm:pt>
    <dgm:pt modelId="{F10D8D0C-AFBA-274F-AA71-39778A6F3CFD}" type="pres">
      <dgm:prSet presAssocID="{4EC1AA61-FDE8-264F-BB39-CC76580411C9}" presName="rootText" presStyleLbl="node2" presStyleIdx="5" presStyleCnt="6">
        <dgm:presLayoutVars>
          <dgm:chPref val="3"/>
        </dgm:presLayoutVars>
      </dgm:prSet>
      <dgm:spPr/>
      <dgm:t>
        <a:bodyPr/>
        <a:lstStyle/>
        <a:p>
          <a:endParaRPr lang="it-IT"/>
        </a:p>
      </dgm:t>
    </dgm:pt>
    <dgm:pt modelId="{FBCA0E19-0CBB-FB4B-87A9-4B08BDC2BD45}" type="pres">
      <dgm:prSet presAssocID="{4EC1AA61-FDE8-264F-BB39-CC76580411C9}" presName="rootConnector" presStyleLbl="node2" presStyleIdx="5" presStyleCnt="6"/>
      <dgm:spPr/>
      <dgm:t>
        <a:bodyPr/>
        <a:lstStyle/>
        <a:p>
          <a:endParaRPr lang="it-IT"/>
        </a:p>
      </dgm:t>
    </dgm:pt>
    <dgm:pt modelId="{C3192D7E-FA96-794B-A497-8A255836E24E}" type="pres">
      <dgm:prSet presAssocID="{4EC1AA61-FDE8-264F-BB39-CC76580411C9}" presName="hierChild4" presStyleCnt="0"/>
      <dgm:spPr/>
    </dgm:pt>
    <dgm:pt modelId="{5117DB1E-9620-E54B-8B5A-A5F19F64CE96}" type="pres">
      <dgm:prSet presAssocID="{4EC1AA61-FDE8-264F-BB39-CC76580411C9}" presName="hierChild5" presStyleCnt="0"/>
      <dgm:spPr/>
    </dgm:pt>
    <dgm:pt modelId="{814A3E50-8F7E-B843-AF88-678E56C9B734}" type="pres">
      <dgm:prSet presAssocID="{B7BEFDBE-55D0-034C-8880-E11F96FA2F93}" presName="hierChild3" presStyleCnt="0"/>
      <dgm:spPr/>
    </dgm:pt>
  </dgm:ptLst>
  <dgm:cxnLst>
    <dgm:cxn modelId="{6FDBE572-54DB-5748-B957-2473F2C92D5C}" type="presOf" srcId="{E8DF6E73-7AFC-B04D-AA7F-4060CAB5D4D0}" destId="{D5B510D5-DAF8-C243-BC6F-F82D11113821}" srcOrd="0" destOrd="0" presId="urn:microsoft.com/office/officeart/2005/8/layout/orgChart1"/>
    <dgm:cxn modelId="{36F40022-5866-144F-8870-15134D97895C}" type="presOf" srcId="{55024305-194D-6249-84AB-97BF05EBA6C4}" destId="{B0746A0A-BF37-6942-9C35-DFAF3E6EAFBC}" srcOrd="0" destOrd="0" presId="urn:microsoft.com/office/officeart/2005/8/layout/orgChart1"/>
    <dgm:cxn modelId="{AC9FA3F1-D51E-AC4B-A0AE-B47EFE6BE3DC}" type="presOf" srcId="{B7BEFDBE-55D0-034C-8880-E11F96FA2F93}" destId="{070367BB-F789-904B-AE98-AA40AFFC875E}" srcOrd="1" destOrd="0" presId="urn:microsoft.com/office/officeart/2005/8/layout/orgChart1"/>
    <dgm:cxn modelId="{0972AE62-AA88-B449-B429-D5541316D86C}" type="presOf" srcId="{AC8C7C4F-CD62-9946-9DCF-47EAFA270113}" destId="{D8F8358A-F008-B04E-A027-1FEE982BECF8}" srcOrd="1" destOrd="0" presId="urn:microsoft.com/office/officeart/2005/8/layout/orgChart1"/>
    <dgm:cxn modelId="{5E321D0A-0D96-5448-A567-B8E599503531}" type="presOf" srcId="{5B4084F4-B4BA-314E-B215-ED6023AAFA66}" destId="{6F015B7D-3A1B-824A-861E-CCAE63A269BB}" srcOrd="0" destOrd="0" presId="urn:microsoft.com/office/officeart/2005/8/layout/orgChart1"/>
    <dgm:cxn modelId="{D0381097-B1AD-8E4C-A5A1-CF4B760E4E5B}" type="presOf" srcId="{2AA27178-C10E-E745-9CEB-30D8C75F9EFF}" destId="{19ED1128-1B04-BB40-AB74-80B827236FFD}" srcOrd="0" destOrd="0" presId="urn:microsoft.com/office/officeart/2005/8/layout/orgChart1"/>
    <dgm:cxn modelId="{97691004-3AFA-3341-963A-65C2DED6202D}" srcId="{B7BEFDBE-55D0-034C-8880-E11F96FA2F93}" destId="{AC8C7C4F-CD62-9946-9DCF-47EAFA270113}" srcOrd="4" destOrd="0" parTransId="{E8DF6E73-7AFC-B04D-AA7F-4060CAB5D4D0}" sibTransId="{9153CA82-0657-654D-A9A1-B365653D7150}"/>
    <dgm:cxn modelId="{BAB7F3B2-CAEB-F041-BA5A-35CB71D55A81}" type="presOf" srcId="{E283420E-50A8-E546-8AC7-69363A1C1742}" destId="{22DED44B-AA48-EA48-B392-EF04774F4D77}" srcOrd="0" destOrd="0" presId="urn:microsoft.com/office/officeart/2005/8/layout/orgChart1"/>
    <dgm:cxn modelId="{4D5D54B0-607E-7A48-A0FC-D50B9E7E463F}" type="presOf" srcId="{5238CDC8-0AD1-164C-B402-026D3F06DE62}" destId="{0F82CBC5-7815-BD4F-808B-55FD3C86B5FF}" srcOrd="1" destOrd="0" presId="urn:microsoft.com/office/officeart/2005/8/layout/orgChart1"/>
    <dgm:cxn modelId="{A89533D5-D71E-664D-99DC-CDB412CD1F27}" type="presOf" srcId="{655A03FF-F7FE-304D-8C54-4778F2587626}" destId="{672EE58C-694C-664F-88ED-5D2996B76D16}" srcOrd="0" destOrd="0" presId="urn:microsoft.com/office/officeart/2005/8/layout/orgChart1"/>
    <dgm:cxn modelId="{7FD59661-C3DC-7A46-9967-B75AFD656B1A}" type="presOf" srcId="{D13725ED-0D39-0D4B-900D-35693F5FF534}" destId="{0E161DDB-2A32-2D45-B0AD-C4ADC186B442}" srcOrd="1" destOrd="0" presId="urn:microsoft.com/office/officeart/2005/8/layout/orgChart1"/>
    <dgm:cxn modelId="{DE3A91E7-C3AA-0D44-8853-CE5E073CBD9C}" type="presOf" srcId="{4EC1AA61-FDE8-264F-BB39-CC76580411C9}" destId="{F10D8D0C-AFBA-274F-AA71-39778A6F3CFD}" srcOrd="0" destOrd="0" presId="urn:microsoft.com/office/officeart/2005/8/layout/orgChart1"/>
    <dgm:cxn modelId="{56B37DE5-07D9-DC44-A8B0-9448EF63AE69}" type="presOf" srcId="{4EC1AA61-FDE8-264F-BB39-CC76580411C9}" destId="{FBCA0E19-0CBB-FB4B-87A9-4B08BDC2BD45}" srcOrd="1" destOrd="0" presId="urn:microsoft.com/office/officeart/2005/8/layout/orgChart1"/>
    <dgm:cxn modelId="{1F7398F6-3D4A-A44C-AB2A-8016B4A1C911}" srcId="{B7BEFDBE-55D0-034C-8880-E11F96FA2F93}" destId="{4EC1AA61-FDE8-264F-BB39-CC76580411C9}" srcOrd="5" destOrd="0" parTransId="{E283420E-50A8-E546-8AC7-69363A1C1742}" sibTransId="{BDF3C58B-A854-894A-BF32-9F58882DA12B}"/>
    <dgm:cxn modelId="{27DA496A-440A-134F-A1B2-6D2814490EB2}" srcId="{B7BEFDBE-55D0-034C-8880-E11F96FA2F93}" destId="{5B4084F4-B4BA-314E-B215-ED6023AAFA66}" srcOrd="2" destOrd="0" parTransId="{D4C88EA2-CE8F-1940-8867-4940A3272ADD}" sibTransId="{53A7B329-1EFC-DC4C-A668-74D75963820F}"/>
    <dgm:cxn modelId="{659D9524-F7E2-474E-917C-A106F8BC4D0C}" srcId="{B7BEFDBE-55D0-034C-8880-E11F96FA2F93}" destId="{5238CDC8-0AD1-164C-B402-026D3F06DE62}" srcOrd="0" destOrd="0" parTransId="{655A03FF-F7FE-304D-8C54-4778F2587626}" sibTransId="{08432C25-BD24-C44F-BEA0-CED3C45EDF64}"/>
    <dgm:cxn modelId="{A83C56B8-427B-B949-9430-4DB32E185ED8}" type="presOf" srcId="{5238CDC8-0AD1-164C-B402-026D3F06DE62}" destId="{09D8BFA6-0226-684F-AC89-F8AD74B34F43}" srcOrd="0" destOrd="0" presId="urn:microsoft.com/office/officeart/2005/8/layout/orgChart1"/>
    <dgm:cxn modelId="{E7643B6B-CB8D-BB47-847B-0F9756E7C803}" type="presOf" srcId="{5B4084F4-B4BA-314E-B215-ED6023AAFA66}" destId="{C9E06175-B9B2-1044-8509-4D0166C41130}" srcOrd="1" destOrd="0" presId="urn:microsoft.com/office/officeart/2005/8/layout/orgChart1"/>
    <dgm:cxn modelId="{B1610206-3286-5B4E-9228-F0936DA569A9}" srcId="{B7BEFDBE-55D0-034C-8880-E11F96FA2F93}" destId="{D13725ED-0D39-0D4B-900D-35693F5FF534}" srcOrd="3" destOrd="0" parTransId="{2AA27178-C10E-E745-9CEB-30D8C75F9EFF}" sibTransId="{55D9C387-D516-F549-9BB6-084D228F1647}"/>
    <dgm:cxn modelId="{AB919539-4E78-AD41-9C5B-95B9C8EB9ECA}" type="presOf" srcId="{FE3E9ED0-E93D-C547-BEAE-A8F6ED9A6A3F}" destId="{FBFD607D-F99C-ED41-8017-9EBC740C982F}" srcOrd="0" destOrd="0" presId="urn:microsoft.com/office/officeart/2005/8/layout/orgChart1"/>
    <dgm:cxn modelId="{B810480B-85C7-FF41-BCE6-D3A7199E4D9F}" srcId="{6446A53C-D7ED-1C40-A553-AF5C0EF5EAA9}" destId="{B7BEFDBE-55D0-034C-8880-E11F96FA2F93}" srcOrd="0" destOrd="0" parTransId="{3C0D5129-5365-3844-B5BD-94E649C718F3}" sibTransId="{5A66033B-9E28-784D-AE3A-BAC1FF7DC436}"/>
    <dgm:cxn modelId="{105B8CDE-FA4D-5E45-A226-A737D17D423B}" type="presOf" srcId="{B7BEFDBE-55D0-034C-8880-E11F96FA2F93}" destId="{A2E0C3BF-BF20-4046-891F-45F99E6AD089}" srcOrd="0" destOrd="0" presId="urn:microsoft.com/office/officeart/2005/8/layout/orgChart1"/>
    <dgm:cxn modelId="{652AEE9F-8A02-7B4E-A7EB-7783B9053E92}" type="presOf" srcId="{AC8C7C4F-CD62-9946-9DCF-47EAFA270113}" destId="{7713E408-9931-8242-BA9C-A9E0A63D2FDB}" srcOrd="0" destOrd="0" presId="urn:microsoft.com/office/officeart/2005/8/layout/orgChart1"/>
    <dgm:cxn modelId="{9892571E-3BF9-364F-A35F-24FA65EA4C4F}" srcId="{B7BEFDBE-55D0-034C-8880-E11F96FA2F93}" destId="{55024305-194D-6249-84AB-97BF05EBA6C4}" srcOrd="1" destOrd="0" parTransId="{FE3E9ED0-E93D-C547-BEAE-A8F6ED9A6A3F}" sibTransId="{CD7F4F00-BC42-A947-B482-55B60CAA797A}"/>
    <dgm:cxn modelId="{9807B4FA-23B9-B044-8D72-40CA75C8D273}" type="presOf" srcId="{55024305-194D-6249-84AB-97BF05EBA6C4}" destId="{E7FD8D99-BA6A-1D42-9380-A023C40B135D}" srcOrd="1" destOrd="0" presId="urn:microsoft.com/office/officeart/2005/8/layout/orgChart1"/>
    <dgm:cxn modelId="{AEE023BF-19B0-C444-B0BD-04B2C7C24696}" type="presOf" srcId="{D4C88EA2-CE8F-1940-8867-4940A3272ADD}" destId="{1460CE88-DF56-A84D-B1FE-079B837B1D87}" srcOrd="0" destOrd="0" presId="urn:microsoft.com/office/officeart/2005/8/layout/orgChart1"/>
    <dgm:cxn modelId="{3C760A6D-CD2B-9E4A-A293-307522D7E251}" type="presOf" srcId="{D13725ED-0D39-0D4B-900D-35693F5FF534}" destId="{17C2C5BB-FFD2-8649-9338-120D654E5050}" srcOrd="0" destOrd="0" presId="urn:microsoft.com/office/officeart/2005/8/layout/orgChart1"/>
    <dgm:cxn modelId="{FFF19CBD-0928-6048-B2CB-9AEBE115C532}" type="presOf" srcId="{6446A53C-D7ED-1C40-A553-AF5C0EF5EAA9}" destId="{6D8C46DB-15CD-1B49-8701-21FABD7D11A0}" srcOrd="0" destOrd="0" presId="urn:microsoft.com/office/officeart/2005/8/layout/orgChart1"/>
    <dgm:cxn modelId="{36BD9D29-9F25-4C4E-81D2-E3A9ACC47341}" type="presParOf" srcId="{6D8C46DB-15CD-1B49-8701-21FABD7D11A0}" destId="{6AEC999B-9052-9D45-940D-17EF4ED4CE57}" srcOrd="0" destOrd="0" presId="urn:microsoft.com/office/officeart/2005/8/layout/orgChart1"/>
    <dgm:cxn modelId="{A932E410-6DF7-6341-B31E-4FD6AE76104F}" type="presParOf" srcId="{6AEC999B-9052-9D45-940D-17EF4ED4CE57}" destId="{156666D6-7696-7541-807B-7B84F4B3A8E4}" srcOrd="0" destOrd="0" presId="urn:microsoft.com/office/officeart/2005/8/layout/orgChart1"/>
    <dgm:cxn modelId="{F9F7C5BA-1AB7-5849-B85A-11CF15B7EDF6}" type="presParOf" srcId="{156666D6-7696-7541-807B-7B84F4B3A8E4}" destId="{A2E0C3BF-BF20-4046-891F-45F99E6AD089}" srcOrd="0" destOrd="0" presId="urn:microsoft.com/office/officeart/2005/8/layout/orgChart1"/>
    <dgm:cxn modelId="{77786CA2-538F-F44A-B507-A0653499FA97}" type="presParOf" srcId="{156666D6-7696-7541-807B-7B84F4B3A8E4}" destId="{070367BB-F789-904B-AE98-AA40AFFC875E}" srcOrd="1" destOrd="0" presId="urn:microsoft.com/office/officeart/2005/8/layout/orgChart1"/>
    <dgm:cxn modelId="{75E4FD6C-E6E1-A340-BE6C-D2DFF965AA22}" type="presParOf" srcId="{6AEC999B-9052-9D45-940D-17EF4ED4CE57}" destId="{55FD9C4C-D45C-1942-9440-B473BF62377C}" srcOrd="1" destOrd="0" presId="urn:microsoft.com/office/officeart/2005/8/layout/orgChart1"/>
    <dgm:cxn modelId="{DA6535C0-065F-8C4A-B26B-160821B22B75}" type="presParOf" srcId="{55FD9C4C-D45C-1942-9440-B473BF62377C}" destId="{672EE58C-694C-664F-88ED-5D2996B76D16}" srcOrd="0" destOrd="0" presId="urn:microsoft.com/office/officeart/2005/8/layout/orgChart1"/>
    <dgm:cxn modelId="{AC10CB4A-F7E9-BC48-BA7C-4BCE203C90CC}" type="presParOf" srcId="{55FD9C4C-D45C-1942-9440-B473BF62377C}" destId="{44B7C5DA-6328-C045-A9A7-6A0380A17EBD}" srcOrd="1" destOrd="0" presId="urn:microsoft.com/office/officeart/2005/8/layout/orgChart1"/>
    <dgm:cxn modelId="{62F74F55-8B33-A649-A73F-87FA2582F943}" type="presParOf" srcId="{44B7C5DA-6328-C045-A9A7-6A0380A17EBD}" destId="{30E014B1-D8B3-CF4D-9DF6-5E2E5C5401DC}" srcOrd="0" destOrd="0" presId="urn:microsoft.com/office/officeart/2005/8/layout/orgChart1"/>
    <dgm:cxn modelId="{6F44B2CA-AD83-DC43-B6A5-6666CDD9A200}" type="presParOf" srcId="{30E014B1-D8B3-CF4D-9DF6-5E2E5C5401DC}" destId="{09D8BFA6-0226-684F-AC89-F8AD74B34F43}" srcOrd="0" destOrd="0" presId="urn:microsoft.com/office/officeart/2005/8/layout/orgChart1"/>
    <dgm:cxn modelId="{9F3BDCFB-9F6C-AC4A-95C6-5C4098CA1EFB}" type="presParOf" srcId="{30E014B1-D8B3-CF4D-9DF6-5E2E5C5401DC}" destId="{0F82CBC5-7815-BD4F-808B-55FD3C86B5FF}" srcOrd="1" destOrd="0" presId="urn:microsoft.com/office/officeart/2005/8/layout/orgChart1"/>
    <dgm:cxn modelId="{AB3DE2A8-AF62-D048-87F2-0414DF05C499}" type="presParOf" srcId="{44B7C5DA-6328-C045-A9A7-6A0380A17EBD}" destId="{CF1CEB0B-1B82-F546-8C3E-B5C88E132DE1}" srcOrd="1" destOrd="0" presId="urn:microsoft.com/office/officeart/2005/8/layout/orgChart1"/>
    <dgm:cxn modelId="{172F8387-9A09-F84F-A295-0C2F9C6DA2BA}" type="presParOf" srcId="{44B7C5DA-6328-C045-A9A7-6A0380A17EBD}" destId="{3DE00DD2-B235-784A-9E02-BBC9F2E5777E}" srcOrd="2" destOrd="0" presId="urn:microsoft.com/office/officeart/2005/8/layout/orgChart1"/>
    <dgm:cxn modelId="{B801DE65-2CBD-D141-B5E6-CC7E277DE4DF}" type="presParOf" srcId="{55FD9C4C-D45C-1942-9440-B473BF62377C}" destId="{FBFD607D-F99C-ED41-8017-9EBC740C982F}" srcOrd="2" destOrd="0" presId="urn:microsoft.com/office/officeart/2005/8/layout/orgChart1"/>
    <dgm:cxn modelId="{8F3A57C6-DDB8-D947-9FE6-A2470E6DB520}" type="presParOf" srcId="{55FD9C4C-D45C-1942-9440-B473BF62377C}" destId="{6B278D9B-424C-824F-AE7B-4C2E0FBC94B1}" srcOrd="3" destOrd="0" presId="urn:microsoft.com/office/officeart/2005/8/layout/orgChart1"/>
    <dgm:cxn modelId="{534B38E9-93BF-6A44-B376-787AE33FF013}" type="presParOf" srcId="{6B278D9B-424C-824F-AE7B-4C2E0FBC94B1}" destId="{7B90522E-A382-7D45-B286-D0FD2EAFD07B}" srcOrd="0" destOrd="0" presId="urn:microsoft.com/office/officeart/2005/8/layout/orgChart1"/>
    <dgm:cxn modelId="{1D886BA4-4FC1-6045-9824-444417232027}" type="presParOf" srcId="{7B90522E-A382-7D45-B286-D0FD2EAFD07B}" destId="{B0746A0A-BF37-6942-9C35-DFAF3E6EAFBC}" srcOrd="0" destOrd="0" presId="urn:microsoft.com/office/officeart/2005/8/layout/orgChart1"/>
    <dgm:cxn modelId="{61747AF3-C5A0-E947-B471-9686B4224CAF}" type="presParOf" srcId="{7B90522E-A382-7D45-B286-D0FD2EAFD07B}" destId="{E7FD8D99-BA6A-1D42-9380-A023C40B135D}" srcOrd="1" destOrd="0" presId="urn:microsoft.com/office/officeart/2005/8/layout/orgChart1"/>
    <dgm:cxn modelId="{422DF89C-AC33-6849-94BC-9F61C0218991}" type="presParOf" srcId="{6B278D9B-424C-824F-AE7B-4C2E0FBC94B1}" destId="{D7EC18D1-6EB3-0448-B9F2-EC115AA7CCCB}" srcOrd="1" destOrd="0" presId="urn:microsoft.com/office/officeart/2005/8/layout/orgChart1"/>
    <dgm:cxn modelId="{6D4292D7-93C0-4D4A-A91B-8382E3EF18BB}" type="presParOf" srcId="{6B278D9B-424C-824F-AE7B-4C2E0FBC94B1}" destId="{8BBB9CFD-0D2F-D740-85F6-1083B66D617E}" srcOrd="2" destOrd="0" presId="urn:microsoft.com/office/officeart/2005/8/layout/orgChart1"/>
    <dgm:cxn modelId="{5D902A05-CD80-DF40-BECF-A2BB24BE1837}" type="presParOf" srcId="{55FD9C4C-D45C-1942-9440-B473BF62377C}" destId="{1460CE88-DF56-A84D-B1FE-079B837B1D87}" srcOrd="4" destOrd="0" presId="urn:microsoft.com/office/officeart/2005/8/layout/orgChart1"/>
    <dgm:cxn modelId="{6C05E912-9345-F348-8093-2B27CF5F5897}" type="presParOf" srcId="{55FD9C4C-D45C-1942-9440-B473BF62377C}" destId="{D7E92DB3-83CD-5D45-8E71-C5262FCDEED8}" srcOrd="5" destOrd="0" presId="urn:microsoft.com/office/officeart/2005/8/layout/orgChart1"/>
    <dgm:cxn modelId="{435614F2-5362-D948-8401-B9688308E1C8}" type="presParOf" srcId="{D7E92DB3-83CD-5D45-8E71-C5262FCDEED8}" destId="{0CA71C4C-4BDE-464F-94F5-415418E34307}" srcOrd="0" destOrd="0" presId="urn:microsoft.com/office/officeart/2005/8/layout/orgChart1"/>
    <dgm:cxn modelId="{9C73BFC9-0845-314A-A2F9-4CED3D9826A0}" type="presParOf" srcId="{0CA71C4C-4BDE-464F-94F5-415418E34307}" destId="{6F015B7D-3A1B-824A-861E-CCAE63A269BB}" srcOrd="0" destOrd="0" presId="urn:microsoft.com/office/officeart/2005/8/layout/orgChart1"/>
    <dgm:cxn modelId="{BC398289-0CBE-594C-ACF8-83FAC8685219}" type="presParOf" srcId="{0CA71C4C-4BDE-464F-94F5-415418E34307}" destId="{C9E06175-B9B2-1044-8509-4D0166C41130}" srcOrd="1" destOrd="0" presId="urn:microsoft.com/office/officeart/2005/8/layout/orgChart1"/>
    <dgm:cxn modelId="{2E373836-F3C5-864B-AAA5-A8749087CD43}" type="presParOf" srcId="{D7E92DB3-83CD-5D45-8E71-C5262FCDEED8}" destId="{0405DCD8-0562-1C44-ACFB-1D83ECD431BE}" srcOrd="1" destOrd="0" presId="urn:microsoft.com/office/officeart/2005/8/layout/orgChart1"/>
    <dgm:cxn modelId="{D5987DB7-7B1D-D64E-9D88-78FB8EC7E7EB}" type="presParOf" srcId="{D7E92DB3-83CD-5D45-8E71-C5262FCDEED8}" destId="{ECA768D6-CA72-7D4A-BD20-DDDD0965C52F}" srcOrd="2" destOrd="0" presId="urn:microsoft.com/office/officeart/2005/8/layout/orgChart1"/>
    <dgm:cxn modelId="{6067D2C5-8DAB-4A41-AE97-CD5F115FE7EE}" type="presParOf" srcId="{55FD9C4C-D45C-1942-9440-B473BF62377C}" destId="{19ED1128-1B04-BB40-AB74-80B827236FFD}" srcOrd="6" destOrd="0" presId="urn:microsoft.com/office/officeart/2005/8/layout/orgChart1"/>
    <dgm:cxn modelId="{8299B885-5945-B64D-B629-246C07849B35}" type="presParOf" srcId="{55FD9C4C-D45C-1942-9440-B473BF62377C}" destId="{6314566A-8C58-BF47-AD4A-34D63784E924}" srcOrd="7" destOrd="0" presId="urn:microsoft.com/office/officeart/2005/8/layout/orgChart1"/>
    <dgm:cxn modelId="{70C4CB18-FB66-A641-A2A5-715FDA29B6A2}" type="presParOf" srcId="{6314566A-8C58-BF47-AD4A-34D63784E924}" destId="{FEB2B907-9FFB-0F49-ACBB-45EB8CE38307}" srcOrd="0" destOrd="0" presId="urn:microsoft.com/office/officeart/2005/8/layout/orgChart1"/>
    <dgm:cxn modelId="{ADB6C9AF-015E-4A43-A103-AA8498266098}" type="presParOf" srcId="{FEB2B907-9FFB-0F49-ACBB-45EB8CE38307}" destId="{17C2C5BB-FFD2-8649-9338-120D654E5050}" srcOrd="0" destOrd="0" presId="urn:microsoft.com/office/officeart/2005/8/layout/orgChart1"/>
    <dgm:cxn modelId="{689DB960-EA9A-BB44-B238-ADA984DE2B21}" type="presParOf" srcId="{FEB2B907-9FFB-0F49-ACBB-45EB8CE38307}" destId="{0E161DDB-2A32-2D45-B0AD-C4ADC186B442}" srcOrd="1" destOrd="0" presId="urn:microsoft.com/office/officeart/2005/8/layout/orgChart1"/>
    <dgm:cxn modelId="{BEBE8C73-62B9-6C4F-970B-0BF8ACA64FB8}" type="presParOf" srcId="{6314566A-8C58-BF47-AD4A-34D63784E924}" destId="{A53983C0-D037-1F4D-8553-B1D3FAC2C893}" srcOrd="1" destOrd="0" presId="urn:microsoft.com/office/officeart/2005/8/layout/orgChart1"/>
    <dgm:cxn modelId="{AA33CC14-B2F7-994B-B592-5010D83C1B1B}" type="presParOf" srcId="{6314566A-8C58-BF47-AD4A-34D63784E924}" destId="{3CC2F0B5-2E36-9C46-B73D-D7E123CCE602}" srcOrd="2" destOrd="0" presId="urn:microsoft.com/office/officeart/2005/8/layout/orgChart1"/>
    <dgm:cxn modelId="{EF9FC6FC-535B-5B48-9268-181C0CEC4E70}" type="presParOf" srcId="{55FD9C4C-D45C-1942-9440-B473BF62377C}" destId="{D5B510D5-DAF8-C243-BC6F-F82D11113821}" srcOrd="8" destOrd="0" presId="urn:microsoft.com/office/officeart/2005/8/layout/orgChart1"/>
    <dgm:cxn modelId="{5647F1EA-F07B-F14D-AEC0-F2D9109D29F3}" type="presParOf" srcId="{55FD9C4C-D45C-1942-9440-B473BF62377C}" destId="{0E67F0C5-898E-4F43-83A0-191328C895CF}" srcOrd="9" destOrd="0" presId="urn:microsoft.com/office/officeart/2005/8/layout/orgChart1"/>
    <dgm:cxn modelId="{ACB9724A-D924-7247-BEDF-EC2B4ABB8286}" type="presParOf" srcId="{0E67F0C5-898E-4F43-83A0-191328C895CF}" destId="{5A34440C-E4C7-FC4D-B2DB-429968E268B4}" srcOrd="0" destOrd="0" presId="urn:microsoft.com/office/officeart/2005/8/layout/orgChart1"/>
    <dgm:cxn modelId="{8A73E3E1-928B-BA4B-B6CE-29A59BBD7BF0}" type="presParOf" srcId="{5A34440C-E4C7-FC4D-B2DB-429968E268B4}" destId="{7713E408-9931-8242-BA9C-A9E0A63D2FDB}" srcOrd="0" destOrd="0" presId="urn:microsoft.com/office/officeart/2005/8/layout/orgChart1"/>
    <dgm:cxn modelId="{0B965B67-66EB-2242-88AE-E4DDF9BECD3B}" type="presParOf" srcId="{5A34440C-E4C7-FC4D-B2DB-429968E268B4}" destId="{D8F8358A-F008-B04E-A027-1FEE982BECF8}" srcOrd="1" destOrd="0" presId="urn:microsoft.com/office/officeart/2005/8/layout/orgChart1"/>
    <dgm:cxn modelId="{34DE2A7E-4A42-1A47-902E-A0226E05DA6E}" type="presParOf" srcId="{0E67F0C5-898E-4F43-83A0-191328C895CF}" destId="{3FE0BF39-CAD0-DB43-B1A6-8B470108D4EE}" srcOrd="1" destOrd="0" presId="urn:microsoft.com/office/officeart/2005/8/layout/orgChart1"/>
    <dgm:cxn modelId="{B1F997B7-F7AB-354E-8207-2A1896F0A380}" type="presParOf" srcId="{0E67F0C5-898E-4F43-83A0-191328C895CF}" destId="{5E1EEA2E-49AD-1B43-92FB-851093FE8A2A}" srcOrd="2" destOrd="0" presId="urn:microsoft.com/office/officeart/2005/8/layout/orgChart1"/>
    <dgm:cxn modelId="{6E1BA2B8-1CB5-1342-AF68-5D0ED6F3EA50}" type="presParOf" srcId="{55FD9C4C-D45C-1942-9440-B473BF62377C}" destId="{22DED44B-AA48-EA48-B392-EF04774F4D77}" srcOrd="10" destOrd="0" presId="urn:microsoft.com/office/officeart/2005/8/layout/orgChart1"/>
    <dgm:cxn modelId="{A668F6A4-2E97-5F46-9A44-8CE176C18900}" type="presParOf" srcId="{55FD9C4C-D45C-1942-9440-B473BF62377C}" destId="{274C5C8B-37D7-3147-B749-D9511CF0AEED}" srcOrd="11" destOrd="0" presId="urn:microsoft.com/office/officeart/2005/8/layout/orgChart1"/>
    <dgm:cxn modelId="{5AEAA924-2D1A-B14B-9355-B27B09A2A14C}" type="presParOf" srcId="{274C5C8B-37D7-3147-B749-D9511CF0AEED}" destId="{9B22DD5B-AE35-7643-BF4E-4AD76F789A66}" srcOrd="0" destOrd="0" presId="urn:microsoft.com/office/officeart/2005/8/layout/orgChart1"/>
    <dgm:cxn modelId="{33D94A81-B769-6741-BB56-117261BED6B3}" type="presParOf" srcId="{9B22DD5B-AE35-7643-BF4E-4AD76F789A66}" destId="{F10D8D0C-AFBA-274F-AA71-39778A6F3CFD}" srcOrd="0" destOrd="0" presId="urn:microsoft.com/office/officeart/2005/8/layout/orgChart1"/>
    <dgm:cxn modelId="{0345AE01-532F-6147-9124-6DC00161070E}" type="presParOf" srcId="{9B22DD5B-AE35-7643-BF4E-4AD76F789A66}" destId="{FBCA0E19-0CBB-FB4B-87A9-4B08BDC2BD45}" srcOrd="1" destOrd="0" presId="urn:microsoft.com/office/officeart/2005/8/layout/orgChart1"/>
    <dgm:cxn modelId="{7C2DB29B-EE93-F840-9591-AD0F05DB91FE}" type="presParOf" srcId="{274C5C8B-37D7-3147-B749-D9511CF0AEED}" destId="{C3192D7E-FA96-794B-A497-8A255836E24E}" srcOrd="1" destOrd="0" presId="urn:microsoft.com/office/officeart/2005/8/layout/orgChart1"/>
    <dgm:cxn modelId="{DFDD2F5A-B0D2-7144-8B1E-6115473872C3}" type="presParOf" srcId="{274C5C8B-37D7-3147-B749-D9511CF0AEED}" destId="{5117DB1E-9620-E54B-8B5A-A5F19F64CE96}" srcOrd="2" destOrd="0" presId="urn:microsoft.com/office/officeart/2005/8/layout/orgChart1"/>
    <dgm:cxn modelId="{5171D566-E36F-9446-B6E0-11E440F248DB}" type="presParOf" srcId="{6AEC999B-9052-9D45-940D-17EF4ED4CE57}" destId="{814A3E50-8F7E-B843-AF88-678E56C9B734}"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DED44B-AA48-EA48-B392-EF04774F4D77}">
      <dsp:nvSpPr>
        <dsp:cNvPr id="0" name=""/>
        <dsp:cNvSpPr/>
      </dsp:nvSpPr>
      <dsp:spPr>
        <a:xfrm>
          <a:off x="2519680" y="772083"/>
          <a:ext cx="2160909" cy="150013"/>
        </a:xfrm>
        <a:custGeom>
          <a:avLst/>
          <a:gdLst/>
          <a:ahLst/>
          <a:cxnLst/>
          <a:rect l="0" t="0" r="0" b="0"/>
          <a:pathLst>
            <a:path>
              <a:moveTo>
                <a:pt x="0" y="0"/>
              </a:moveTo>
              <a:lnTo>
                <a:pt x="0" y="75006"/>
              </a:lnTo>
              <a:lnTo>
                <a:pt x="2160909" y="75006"/>
              </a:lnTo>
              <a:lnTo>
                <a:pt x="2160909" y="150013"/>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5B510D5-DAF8-C243-BC6F-F82D11113821}">
      <dsp:nvSpPr>
        <dsp:cNvPr id="0" name=""/>
        <dsp:cNvSpPr/>
      </dsp:nvSpPr>
      <dsp:spPr>
        <a:xfrm>
          <a:off x="2519680" y="772083"/>
          <a:ext cx="1296545" cy="150013"/>
        </a:xfrm>
        <a:custGeom>
          <a:avLst/>
          <a:gdLst/>
          <a:ahLst/>
          <a:cxnLst/>
          <a:rect l="0" t="0" r="0" b="0"/>
          <a:pathLst>
            <a:path>
              <a:moveTo>
                <a:pt x="0" y="0"/>
              </a:moveTo>
              <a:lnTo>
                <a:pt x="0" y="75006"/>
              </a:lnTo>
              <a:lnTo>
                <a:pt x="1296545" y="75006"/>
              </a:lnTo>
              <a:lnTo>
                <a:pt x="1296545" y="150013"/>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9ED1128-1B04-BB40-AB74-80B827236FFD}">
      <dsp:nvSpPr>
        <dsp:cNvPr id="0" name=""/>
        <dsp:cNvSpPr/>
      </dsp:nvSpPr>
      <dsp:spPr>
        <a:xfrm>
          <a:off x="2519680" y="772083"/>
          <a:ext cx="432181" cy="150013"/>
        </a:xfrm>
        <a:custGeom>
          <a:avLst/>
          <a:gdLst/>
          <a:ahLst/>
          <a:cxnLst/>
          <a:rect l="0" t="0" r="0" b="0"/>
          <a:pathLst>
            <a:path>
              <a:moveTo>
                <a:pt x="0" y="0"/>
              </a:moveTo>
              <a:lnTo>
                <a:pt x="0" y="75006"/>
              </a:lnTo>
              <a:lnTo>
                <a:pt x="432181" y="75006"/>
              </a:lnTo>
              <a:lnTo>
                <a:pt x="432181" y="150013"/>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460CE88-DF56-A84D-B1FE-079B837B1D87}">
      <dsp:nvSpPr>
        <dsp:cNvPr id="0" name=""/>
        <dsp:cNvSpPr/>
      </dsp:nvSpPr>
      <dsp:spPr>
        <a:xfrm>
          <a:off x="2087498" y="772083"/>
          <a:ext cx="432181" cy="150013"/>
        </a:xfrm>
        <a:custGeom>
          <a:avLst/>
          <a:gdLst/>
          <a:ahLst/>
          <a:cxnLst/>
          <a:rect l="0" t="0" r="0" b="0"/>
          <a:pathLst>
            <a:path>
              <a:moveTo>
                <a:pt x="432181" y="0"/>
              </a:moveTo>
              <a:lnTo>
                <a:pt x="432181" y="75006"/>
              </a:lnTo>
              <a:lnTo>
                <a:pt x="0" y="75006"/>
              </a:lnTo>
              <a:lnTo>
                <a:pt x="0" y="150013"/>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BFD607D-F99C-ED41-8017-9EBC740C982F}">
      <dsp:nvSpPr>
        <dsp:cNvPr id="0" name=""/>
        <dsp:cNvSpPr/>
      </dsp:nvSpPr>
      <dsp:spPr>
        <a:xfrm>
          <a:off x="1223134" y="772083"/>
          <a:ext cx="1296545" cy="150013"/>
        </a:xfrm>
        <a:custGeom>
          <a:avLst/>
          <a:gdLst/>
          <a:ahLst/>
          <a:cxnLst/>
          <a:rect l="0" t="0" r="0" b="0"/>
          <a:pathLst>
            <a:path>
              <a:moveTo>
                <a:pt x="1296545" y="0"/>
              </a:moveTo>
              <a:lnTo>
                <a:pt x="1296545" y="75006"/>
              </a:lnTo>
              <a:lnTo>
                <a:pt x="0" y="75006"/>
              </a:lnTo>
              <a:lnTo>
                <a:pt x="0" y="150013"/>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72EE58C-694C-664F-88ED-5D2996B76D16}">
      <dsp:nvSpPr>
        <dsp:cNvPr id="0" name=""/>
        <dsp:cNvSpPr/>
      </dsp:nvSpPr>
      <dsp:spPr>
        <a:xfrm>
          <a:off x="358770" y="772083"/>
          <a:ext cx="2160909" cy="150013"/>
        </a:xfrm>
        <a:custGeom>
          <a:avLst/>
          <a:gdLst/>
          <a:ahLst/>
          <a:cxnLst/>
          <a:rect l="0" t="0" r="0" b="0"/>
          <a:pathLst>
            <a:path>
              <a:moveTo>
                <a:pt x="2160909" y="0"/>
              </a:moveTo>
              <a:lnTo>
                <a:pt x="2160909" y="75006"/>
              </a:lnTo>
              <a:lnTo>
                <a:pt x="0" y="75006"/>
              </a:lnTo>
              <a:lnTo>
                <a:pt x="0" y="150013"/>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2E0C3BF-BF20-4046-891F-45F99E6AD089}">
      <dsp:nvSpPr>
        <dsp:cNvPr id="0" name=""/>
        <dsp:cNvSpPr/>
      </dsp:nvSpPr>
      <dsp:spPr>
        <a:xfrm>
          <a:off x="2162504" y="414908"/>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Direzione</a:t>
          </a:r>
        </a:p>
      </dsp:txBody>
      <dsp:txXfrm>
        <a:off x="2162504" y="414908"/>
        <a:ext cx="714350" cy="357175"/>
      </dsp:txXfrm>
    </dsp:sp>
    <dsp:sp modelId="{09D8BFA6-0226-684F-AC89-F8AD74B34F43}">
      <dsp:nvSpPr>
        <dsp:cNvPr id="0" name=""/>
        <dsp:cNvSpPr/>
      </dsp:nvSpPr>
      <dsp:spPr>
        <a:xfrm>
          <a:off x="1595" y="922096"/>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Archeologia</a:t>
          </a:r>
        </a:p>
      </dsp:txBody>
      <dsp:txXfrm>
        <a:off x="1595" y="922096"/>
        <a:ext cx="714350" cy="357175"/>
      </dsp:txXfrm>
    </dsp:sp>
    <dsp:sp modelId="{B0746A0A-BF37-6942-9C35-DFAF3E6EAFBC}">
      <dsp:nvSpPr>
        <dsp:cNvPr id="0" name=""/>
        <dsp:cNvSpPr/>
      </dsp:nvSpPr>
      <dsp:spPr>
        <a:xfrm>
          <a:off x="865959" y="922096"/>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Restauro</a:t>
          </a:r>
        </a:p>
      </dsp:txBody>
      <dsp:txXfrm>
        <a:off x="865959" y="922096"/>
        <a:ext cx="714350" cy="357175"/>
      </dsp:txXfrm>
    </dsp:sp>
    <dsp:sp modelId="{6F015B7D-3A1B-824A-861E-CCAE63A269BB}">
      <dsp:nvSpPr>
        <dsp:cNvPr id="0" name=""/>
        <dsp:cNvSpPr/>
      </dsp:nvSpPr>
      <dsp:spPr>
        <a:xfrm>
          <a:off x="1730323" y="922096"/>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Conservazione</a:t>
          </a:r>
        </a:p>
      </dsp:txBody>
      <dsp:txXfrm>
        <a:off x="1730323" y="922096"/>
        <a:ext cx="714350" cy="357175"/>
      </dsp:txXfrm>
    </dsp:sp>
    <dsp:sp modelId="{17C2C5BB-FFD2-8649-9338-120D654E5050}">
      <dsp:nvSpPr>
        <dsp:cNvPr id="0" name=""/>
        <dsp:cNvSpPr/>
      </dsp:nvSpPr>
      <dsp:spPr>
        <a:xfrm>
          <a:off x="2594686" y="922096"/>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Area tecnica</a:t>
          </a:r>
        </a:p>
      </dsp:txBody>
      <dsp:txXfrm>
        <a:off x="2594686" y="922096"/>
        <a:ext cx="714350" cy="357175"/>
      </dsp:txXfrm>
    </dsp:sp>
    <dsp:sp modelId="{7713E408-9931-8242-BA9C-A9E0A63D2FDB}">
      <dsp:nvSpPr>
        <dsp:cNvPr id="0" name=""/>
        <dsp:cNvSpPr/>
      </dsp:nvSpPr>
      <dsp:spPr>
        <a:xfrm>
          <a:off x="3459050" y="922096"/>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Archivio</a:t>
          </a:r>
        </a:p>
      </dsp:txBody>
      <dsp:txXfrm>
        <a:off x="3459050" y="922096"/>
        <a:ext cx="714350" cy="357175"/>
      </dsp:txXfrm>
    </dsp:sp>
    <dsp:sp modelId="{F10D8D0C-AFBA-274F-AA71-39778A6F3CFD}">
      <dsp:nvSpPr>
        <dsp:cNvPr id="0" name=""/>
        <dsp:cNvSpPr/>
      </dsp:nvSpPr>
      <dsp:spPr>
        <a:xfrm>
          <a:off x="4323414" y="922096"/>
          <a:ext cx="714350" cy="357175"/>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it-IT" sz="800" kern="1200"/>
            <a:t>Amministrazione</a:t>
          </a:r>
        </a:p>
      </dsp:txBody>
      <dsp:txXfrm>
        <a:off x="4323414" y="922096"/>
        <a:ext cx="714350" cy="35717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3D7E0-BC4E-A34C-8F5B-64A21389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6552</Words>
  <Characters>37350</Characters>
  <Application>Microsoft Macintosh Word</Application>
  <DocSecurity>0</DocSecurity>
  <Lines>311</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Tommaso Federici</dc:creator>
  <cp:keywords/>
  <dc:description/>
  <cp:lastModifiedBy>Alessio Maria Braccini</cp:lastModifiedBy>
  <cp:revision>4</cp:revision>
  <cp:lastPrinted>2017-12-06T16:46:00Z</cp:lastPrinted>
  <dcterms:created xsi:type="dcterms:W3CDTF">2017-12-06T16:44:00Z</dcterms:created>
  <dcterms:modified xsi:type="dcterms:W3CDTF">2017-12-06T16:46:00Z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http://www.zotero.org/styles/harvard-cite-them-right</vt:lpwstr>
  </property>
  <property fmtid="{D5CDD505-2E9C-101B-9397-08002B2CF9AE}" pid="5" name="Mendeley Recent Style Name 1_1">
    <vt:lpwstr>Cite Them Right 10th edition - Harvard</vt:lpwstr>
  </property>
  <property fmtid="{D5CDD505-2E9C-101B-9397-08002B2CF9AE}" pid="6" name="Mendeley Recent Style Id 2_1">
    <vt:lpwstr>http://www.zotero.org/styles/harvard1</vt:lpwstr>
  </property>
  <property fmtid="{D5CDD505-2E9C-101B-9397-08002B2CF9AE}" pid="7" name="Mendeley Recent Style Name 2_1">
    <vt:lpwstr>Harvard reference format 1 (deprecated)</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http://www.zotero.org/styles/information-and-organization</vt:lpwstr>
  </property>
  <property fmtid="{D5CDD505-2E9C-101B-9397-08002B2CF9AE}" pid="11" name="Mendeley Recent Style Name 4_1">
    <vt:lpwstr>Information and Organization</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http://www.zotero.org/styles/springer-basic-brackets-no-et-al-alphabetical</vt:lpwstr>
  </property>
  <property fmtid="{D5CDD505-2E9C-101B-9397-08002B2CF9AE}" pid="19" name="Mendeley Recent Style Name 8_1">
    <vt:lpwstr>Springer - Basic (numeric, brackets, no "et al.", alphabetical)</vt:lpwstr>
  </property>
  <property fmtid="{D5CDD505-2E9C-101B-9397-08002B2CF9AE}" pid="20" name="Mendeley Recent Style Id 9_1">
    <vt:lpwstr>http://www.zotero.org/styles/springer-lecture-notes-in-computer-science</vt:lpwstr>
  </property>
  <property fmtid="{D5CDD505-2E9C-101B-9397-08002B2CF9AE}" pid="21" name="Mendeley Recent Style Name 9_1">
    <vt:lpwstr>Springer - Lecture Notes in Computer Science</vt:lpwstr>
  </property>
  <property fmtid="{D5CDD505-2E9C-101B-9397-08002B2CF9AE}" pid="22" name="Mendeley Document_1">
    <vt:lpwstr>True</vt:lpwstr>
  </property>
  <property fmtid="{D5CDD505-2E9C-101B-9397-08002B2CF9AE}" pid="23" name="Mendeley Unique User Id_1">
    <vt:lpwstr>ba969160-93ee-3868-a71a-99844032b1b5</vt:lpwstr>
  </property>
  <property fmtid="{D5CDD505-2E9C-101B-9397-08002B2CF9AE}" pid="24" name="Mendeley Citation Style_1">
    <vt:lpwstr>http://www.zotero.org/styles/american-political-science-association</vt:lpwstr>
  </property>
</Properties>
</file>