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24F4F" w:rsidRPr="007D2CA8" w:rsidRDefault="00024F4F" w:rsidP="005B7C49">
      <w:pPr>
        <w:pStyle w:val="ATitolo"/>
        <w:widowControl/>
        <w:rPr>
          <w:noProof/>
          <w:spacing w:val="-4"/>
        </w:rPr>
      </w:pPr>
      <w:r w:rsidRPr="007D2CA8">
        <w:rPr>
          <w:noProof/>
          <w:spacing w:val="-4"/>
        </w:rPr>
        <w:t xml:space="preserve">La relazione del revisore nei casi di incertezza </w:t>
      </w:r>
      <w:r w:rsidRPr="007D2CA8">
        <w:rPr>
          <w:noProof/>
          <w:spacing w:val="-4"/>
        </w:rPr>
        <w:br/>
        <w:t>sulla continuità aziendale</w:t>
      </w:r>
    </w:p>
    <w:p w:rsidR="00024F4F" w:rsidRPr="007D2CA8" w:rsidRDefault="00024F4F" w:rsidP="005B7C49">
      <w:pPr>
        <w:pStyle w:val="AAutoriinizarticolo"/>
        <w:rPr>
          <w:spacing w:val="-4"/>
          <w:lang w:val="it-IT"/>
        </w:rPr>
      </w:pPr>
      <w:r w:rsidRPr="007D2CA8">
        <w:rPr>
          <w:smallCaps w:val="0"/>
          <w:spacing w:val="-4"/>
          <w:lang w:val="it-IT"/>
        </w:rPr>
        <w:t>Prof.</w:t>
      </w:r>
      <w:r w:rsidRPr="007D2CA8">
        <w:rPr>
          <w:spacing w:val="-4"/>
          <w:lang w:val="it-IT"/>
        </w:rPr>
        <w:t xml:space="preserve"> Giuseppe Ianniello - </w:t>
      </w:r>
      <w:r w:rsidRPr="007D2CA8">
        <w:rPr>
          <w:smallCaps w:val="0"/>
          <w:spacing w:val="-4"/>
          <w:lang w:val="it-IT"/>
        </w:rPr>
        <w:t>Prof.</w:t>
      </w:r>
      <w:r w:rsidRPr="007D2CA8">
        <w:rPr>
          <w:spacing w:val="-4"/>
          <w:lang w:val="it-IT"/>
        </w:rPr>
        <w:t xml:space="preserve"> Marco Mainardi - </w:t>
      </w:r>
      <w:r w:rsidRPr="007D2CA8">
        <w:rPr>
          <w:smallCaps w:val="0"/>
          <w:spacing w:val="-4"/>
          <w:lang w:val="it-IT"/>
        </w:rPr>
        <w:t>Prof.</w:t>
      </w:r>
      <w:r w:rsidRPr="007D2CA8">
        <w:rPr>
          <w:spacing w:val="-4"/>
          <w:lang w:val="it-IT"/>
        </w:rPr>
        <w:t xml:space="preserve"> Fabrizio Rossi </w:t>
      </w:r>
    </w:p>
    <w:p w:rsidR="00024F4F" w:rsidRPr="000A2318" w:rsidRDefault="00024F4F" w:rsidP="005B7C49">
      <w:pPr>
        <w:pStyle w:val="AASommarioeAbstractragioneri"/>
        <w:rPr>
          <w:noProof/>
          <w:spacing w:val="-4"/>
          <w:lang w:val="en-US"/>
        </w:rPr>
      </w:pPr>
      <w:r w:rsidRPr="000A2318">
        <w:rPr>
          <w:smallCaps/>
          <w:noProof/>
          <w:spacing w:val="-4"/>
          <w:lang w:val="en-US"/>
        </w:rPr>
        <w:t xml:space="preserve">Abstract: </w:t>
      </w:r>
      <w:r w:rsidRPr="000A2318">
        <w:rPr>
          <w:i w:val="0"/>
          <w:iCs w:val="0"/>
          <w:smallCaps/>
          <w:noProof/>
          <w:spacing w:val="-4"/>
          <w:lang w:val="en-US"/>
        </w:rPr>
        <w:t>(Audit report disclosing going corcern uncertainties)</w:t>
      </w:r>
      <w:r w:rsidRPr="000A2318">
        <w:rPr>
          <w:noProof/>
          <w:spacing w:val="-4"/>
          <w:lang w:val="en-US"/>
        </w:rPr>
        <w:t xml:space="preserve"> This paper aims at analyzing some information features of audit reports when an adverse opinion or a disclaimer of opinion is issued in the Italian regulatory environment in relation with going concern uncertainties An empirical analysis is conducted over the period 2004 – 2011 with reference to Italian listed companies. In particular, the analysis compares the period 2004-2007 and 2008-2011 to test a difference in the information characteristics of the audit report as a consequence of the recommendation of Banca d’Italia/Consob/Isvap (2009), calling for more attention in verifing the going concern assumption. Adverse opinions and disclaimers of opinion are rare thus our sample comprises 61 audit reports issued during the period under investigation. We used non parametric tests to validate our hypothesis that an Authority raccomandations may have changed the auditor behaviour in disclosing going concern uncertainties. The emphasis is on some key information (indicators) expressed in the audit reports when a severe opinion is issued related to going concern uncertainties. Following the Italian auditing standard based on International Standard on Auditing (ISA) 570 we classify the information reported in the audit report in three types of inidcator: financial, operating, and other. The total number of indicators is 17, however four of them were never used, the other 13 are disclosed 248 times in the audit reports investigated. The financial, operating, and other indicators are then categorized as quantitative or qualitiative. In the first case a quantitative measure of the indicator is reported, in the second case the indicator is reported in a narrative way using adjective or other form of description. In general, the most common indicator used by auditors is the ‘substantial operating losses or significant deterioration in the value of assets used to generate cash flows’ mentioned in 49 audit reports (80% of our audit reports sample), followed by ‘adverse key financial ratios’ (62%). We are able to show that there has been a significant increase in the use of indicators expressed in quantitative way compared to the qualitative (descriptive) form. In particular, in the period 2004-2007 quantitative indicators have a frequency of 39% while in the period 2008-2011 this percentage becomes 69%. It appears that the Authorities paper (Banca d’Italia/Consob/Isvap, 2009) somehow influenced auditors behavior in the way of reporting going concern issues.</w:t>
      </w:r>
    </w:p>
    <w:p w:rsidR="00024F4F" w:rsidRPr="000A2318" w:rsidRDefault="00024F4F" w:rsidP="005B7C49">
      <w:pPr>
        <w:ind w:firstLine="567"/>
        <w:jc w:val="both"/>
        <w:rPr>
          <w:spacing w:val="-4"/>
          <w:lang w:val="en-US"/>
        </w:rPr>
      </w:pPr>
    </w:p>
    <w:p w:rsidR="00024F4F" w:rsidRPr="000A2318" w:rsidRDefault="00024F4F" w:rsidP="005B7C49">
      <w:pPr>
        <w:spacing w:line="360" w:lineRule="auto"/>
        <w:jc w:val="both"/>
        <w:rPr>
          <w:spacing w:val="-4"/>
          <w:lang w:val="en-US"/>
        </w:rPr>
      </w:pPr>
      <w:r w:rsidRPr="000A2318">
        <w:rPr>
          <w:rFonts w:ascii="Garamond" w:hAnsi="Garamond" w:cs="Arial"/>
          <w:i/>
          <w:smallCaps/>
          <w:noProof/>
          <w:color w:val="000000"/>
          <w:spacing w:val="-4"/>
          <w:sz w:val="18"/>
          <w:szCs w:val="18"/>
          <w:lang w:val="en-US"/>
        </w:rPr>
        <w:t>Keywords:</w:t>
      </w:r>
      <w:r w:rsidRPr="000A2318">
        <w:rPr>
          <w:spacing w:val="-4"/>
          <w:lang w:val="en-US"/>
        </w:rPr>
        <w:t xml:space="preserve"> </w:t>
      </w:r>
      <w:r w:rsidRPr="000A2318">
        <w:rPr>
          <w:rFonts w:ascii="Garamond" w:hAnsi="Garamond" w:cs="Arial"/>
          <w:i/>
          <w:noProof/>
          <w:color w:val="000000"/>
          <w:spacing w:val="-4"/>
          <w:sz w:val="18"/>
          <w:szCs w:val="18"/>
          <w:lang w:val="en-US"/>
        </w:rPr>
        <w:t>audit report, going concern unceratinties, auditor opinion</w:t>
      </w:r>
    </w:p>
    <w:p w:rsidR="00024F4F" w:rsidRPr="007D2CA8" w:rsidRDefault="00024F4F" w:rsidP="005B7C49">
      <w:pPr>
        <w:pStyle w:val="ASottotitoloNumerato"/>
        <w:widowControl/>
        <w:rPr>
          <w:spacing w:val="-4"/>
          <w:szCs w:val="24"/>
        </w:rPr>
      </w:pPr>
      <w:r w:rsidRPr="007D2CA8">
        <w:rPr>
          <w:spacing w:val="-4"/>
        </w:rPr>
        <w:t>Introduzione</w:t>
      </w:r>
    </w:p>
    <w:p w:rsidR="00024F4F" w:rsidRPr="007D2CA8" w:rsidRDefault="00024F4F" w:rsidP="005D3819">
      <w:pPr>
        <w:pStyle w:val="ATesto"/>
        <w:widowControl/>
        <w:rPr>
          <w:noProof/>
          <w:spacing w:val="-4"/>
          <w:lang w:val="it-IT"/>
        </w:rPr>
      </w:pPr>
      <w:r w:rsidRPr="007D2CA8">
        <w:rPr>
          <w:noProof/>
          <w:spacing w:val="-4"/>
          <w:lang w:val="it-IT"/>
        </w:rPr>
        <w:t xml:space="preserve">Il presente lavoro intende analizzare la capacità informativa della relazione del revisore nei casi particolarmente critici in cui il revisore esprime un giudizio negativo e impossibilità a esprimere giudizio nel contesto regolamentare italiano. L’indagine empirica copre il periodo 2004 – 2011 con riferimento alle società italiane quotate in borsa. Una particolare attenzione è dedicata al Documento Banca d’Italia/Consob/Isvap (2009) e l’analisi viene suddivisa in due archi temporali 2004 - 2007 e 2008 – 2011 al fine di evidenziare eventuali cambiamenti nelle modalità di riportare le informazioni da parte del revisore a seguito della pubblicazione del citato documento congiunto Banca d’Italia/Consob/Isvap. In particolare, l’indagine è dedicata al tema della continuità aziendale. Come noto, l’assunzione del principio della continuità aziendale è uno dei postulati fondamentali - principio prioritario o antecedente - nel processo di redazione del bilancio a livello di principi contabili internazionali e nazionali (per esempio, </w:t>
      </w:r>
      <w:r w:rsidRPr="007D2CA8">
        <w:rPr>
          <w:noProof/>
          <w:spacing w:val="-4"/>
          <w:sz w:val="18"/>
          <w:szCs w:val="18"/>
          <w:lang w:val="it-IT"/>
        </w:rPr>
        <w:t>C</w:t>
      </w:r>
      <w:r w:rsidR="005D3819" w:rsidRPr="007D2CA8">
        <w:rPr>
          <w:noProof/>
          <w:spacing w:val="-4"/>
          <w:sz w:val="18"/>
          <w:szCs w:val="18"/>
          <w:lang w:val="it-IT"/>
        </w:rPr>
        <w:t>ATTURI</w:t>
      </w:r>
      <w:r w:rsidRPr="007D2CA8">
        <w:rPr>
          <w:noProof/>
          <w:spacing w:val="-4"/>
          <w:lang w:val="it-IT"/>
        </w:rPr>
        <w:t xml:space="preserve">, 2009; </w:t>
      </w:r>
      <w:r w:rsidRPr="007D2CA8">
        <w:rPr>
          <w:noProof/>
          <w:spacing w:val="-4"/>
          <w:sz w:val="18"/>
          <w:szCs w:val="18"/>
          <w:lang w:val="it-IT"/>
        </w:rPr>
        <w:t>F</w:t>
      </w:r>
      <w:r w:rsidR="005D3819" w:rsidRPr="007D2CA8">
        <w:rPr>
          <w:noProof/>
          <w:spacing w:val="-4"/>
          <w:sz w:val="18"/>
          <w:szCs w:val="18"/>
          <w:lang w:val="it-IT"/>
        </w:rPr>
        <w:t>ERRERO</w:t>
      </w:r>
      <w:r w:rsidRPr="007D2CA8">
        <w:rPr>
          <w:noProof/>
          <w:spacing w:val="-4"/>
          <w:lang w:val="it-IT"/>
        </w:rPr>
        <w:t xml:space="preserve">, 1991; </w:t>
      </w:r>
      <w:r w:rsidRPr="007D2CA8">
        <w:rPr>
          <w:noProof/>
          <w:spacing w:val="-4"/>
          <w:sz w:val="18"/>
          <w:szCs w:val="18"/>
          <w:lang w:val="it-IT"/>
        </w:rPr>
        <w:t>T</w:t>
      </w:r>
      <w:r w:rsidR="005D3819" w:rsidRPr="007D2CA8">
        <w:rPr>
          <w:noProof/>
          <w:spacing w:val="-4"/>
          <w:sz w:val="18"/>
          <w:szCs w:val="18"/>
          <w:lang w:val="it-IT"/>
        </w:rPr>
        <w:t>ERZANI</w:t>
      </w:r>
      <w:r w:rsidRPr="007D2CA8">
        <w:rPr>
          <w:noProof/>
          <w:spacing w:val="-4"/>
          <w:lang w:val="it-IT"/>
        </w:rPr>
        <w:t xml:space="preserve">, 2002). Il compito di valutare la sussistenza di tale principio è attribuito all’organo aziendale responsabile della formazione del bilancio, tuttavia, il revisore è chiamato a verificare l’appropriatezza nell’assunzione di tale principio. L’avvio della stagione degli scandali finanziari a partire dal 2001 e la crisi finanziaria </w:t>
      </w:r>
      <w:r w:rsidRPr="007D2CA8">
        <w:rPr>
          <w:noProof/>
          <w:spacing w:val="-4"/>
          <w:lang w:val="it-IT"/>
        </w:rPr>
        <w:lastRenderedPageBreak/>
        <w:t>iniziata alla fine del 2007 hanno aumentato la domanda di qualità informativa da parte delle aziende e al contempo il ruolo di controllo svolto dalle autorità di vigilanza e dai revisori esterni. Il prodotto finale nel processo di revisione è la relazione del revisore. Lo scopo della presente indagine è focalizzare l’attenzione su alcune informazioni chiave (o indicatori) presenti nella relazione del revisore quando vengono espressi giudizi gravi relativi al tema della continuità aziendale. Tale analisi è giustificata dall’idea che la revisione può rispondere in modo diverso ai cambiamenti ambientali per soddisfare le aspettative della società o in senso stretto del mercato finanziario (</w:t>
      </w:r>
      <w:r w:rsidRPr="007D2CA8">
        <w:rPr>
          <w:noProof/>
          <w:spacing w:val="-4"/>
          <w:sz w:val="18"/>
          <w:szCs w:val="18"/>
          <w:lang w:val="it-IT"/>
        </w:rPr>
        <w:t>F</w:t>
      </w:r>
      <w:r w:rsidR="005D3819" w:rsidRPr="007D2CA8">
        <w:rPr>
          <w:noProof/>
          <w:spacing w:val="-4"/>
          <w:sz w:val="18"/>
          <w:szCs w:val="18"/>
          <w:lang w:val="it-IT"/>
        </w:rPr>
        <w:t>LINT</w:t>
      </w:r>
      <w:r w:rsidRPr="007D2CA8">
        <w:rPr>
          <w:noProof/>
          <w:spacing w:val="-4"/>
          <w:lang w:val="it-IT"/>
        </w:rPr>
        <w:t xml:space="preserve">, 1984). </w:t>
      </w:r>
      <w:r w:rsidRPr="007D2CA8">
        <w:rPr>
          <w:noProof/>
          <w:spacing w:val="-4"/>
          <w:sz w:val="18"/>
          <w:szCs w:val="18"/>
          <w:lang w:val="it-IT"/>
        </w:rPr>
        <w:t>C</w:t>
      </w:r>
      <w:r w:rsidR="005D3819" w:rsidRPr="007D2CA8">
        <w:rPr>
          <w:noProof/>
          <w:spacing w:val="-4"/>
          <w:sz w:val="18"/>
          <w:szCs w:val="18"/>
          <w:lang w:val="it-IT"/>
        </w:rPr>
        <w:t>AVALIERI</w:t>
      </w:r>
      <w:r w:rsidRPr="007D2CA8">
        <w:rPr>
          <w:noProof/>
          <w:spacing w:val="-4"/>
          <w:sz w:val="18"/>
          <w:szCs w:val="18"/>
          <w:lang w:val="it-IT"/>
        </w:rPr>
        <w:t xml:space="preserve"> </w:t>
      </w:r>
      <w:r w:rsidRPr="007D2CA8">
        <w:rPr>
          <w:noProof/>
          <w:spacing w:val="-4"/>
          <w:lang w:val="it-IT"/>
        </w:rPr>
        <w:t xml:space="preserve">(1999: 434-435) osserva che tra le ragioni di crisi dell’istituto della revisione in termini di credibilità e di immagine vi è il “fatto che le attese degli operatori e dell’opinione pubblica sul ruolo e sull’efficacia dell’istituto sono andate deluse”, in particolare, in merito alla “garanzia” contro il rischio di future insolvenze; </w:t>
      </w:r>
      <w:r w:rsidR="005D3819" w:rsidRPr="007D2CA8">
        <w:rPr>
          <w:noProof/>
          <w:spacing w:val="-4"/>
          <w:lang w:val="it-IT"/>
        </w:rPr>
        <w:t>(</w:t>
      </w:r>
      <w:r w:rsidRPr="007D2CA8">
        <w:rPr>
          <w:noProof/>
          <w:spacing w:val="-4"/>
          <w:sz w:val="18"/>
          <w:szCs w:val="18"/>
          <w:lang w:val="it-IT"/>
        </w:rPr>
        <w:t>P</w:t>
      </w:r>
      <w:r w:rsidR="005D3819" w:rsidRPr="007D2CA8">
        <w:rPr>
          <w:noProof/>
          <w:spacing w:val="-4"/>
          <w:sz w:val="18"/>
          <w:szCs w:val="18"/>
          <w:lang w:val="it-IT"/>
        </w:rPr>
        <w:t>ROVASOLI</w:t>
      </w:r>
      <w:r w:rsidR="005D3819" w:rsidRPr="007D2CA8">
        <w:rPr>
          <w:noProof/>
          <w:spacing w:val="-4"/>
          <w:lang w:val="it-IT"/>
        </w:rPr>
        <w:t xml:space="preserve">, </w:t>
      </w:r>
      <w:r w:rsidRPr="007D2CA8">
        <w:rPr>
          <w:noProof/>
          <w:spacing w:val="-4"/>
          <w:lang w:val="it-IT"/>
        </w:rPr>
        <w:t xml:space="preserve">1989: 56-57), argomentando sulle finalità informative del bilancio nei confronti di soggetti interni ed esterni all’impresa, scrive che “L’attesa di conoscenza comune a tutti i soggetti può essere sinteticamente identificata nella prospettiva di </w:t>
      </w:r>
      <w:r w:rsidRPr="007D2CA8">
        <w:rPr>
          <w:i/>
          <w:noProof/>
          <w:spacing w:val="-4"/>
          <w:lang w:val="it-IT"/>
        </w:rPr>
        <w:t>continuità aziendale</w:t>
      </w:r>
      <w:r w:rsidRPr="007D2CA8">
        <w:rPr>
          <w:spacing w:val="-4"/>
          <w:lang w:val="it-IT"/>
        </w:rPr>
        <w:t xml:space="preserve">. </w:t>
      </w:r>
      <w:r w:rsidRPr="007D2CA8">
        <w:rPr>
          <w:noProof/>
          <w:spacing w:val="-4"/>
          <w:lang w:val="it-IT"/>
        </w:rPr>
        <w:t>Essi pertanto cercano anzitutto nel bilancio le informazioni essenziali atte a confermare se e come siano soddisfatte le condizioni di economicità duratura dell’impresa”. Da tali osservazioni si evince la particolare attenzione che deve essere posta da parte del revisore sulla sussistenza dell’assunzione delle continuità aziendale. Di conseguenza anche le modalità di riportare le informazioni su tale aspetto nella relazione di revisione possono essere oggetto di osservazione al fine di evidenziare eventuali cambiamenti a seguito di fattori ambientali particolarmente significativi.</w:t>
      </w:r>
    </w:p>
    <w:p w:rsidR="00024F4F" w:rsidRPr="007D2CA8" w:rsidRDefault="00024F4F" w:rsidP="005B7C49">
      <w:pPr>
        <w:pStyle w:val="ATesto"/>
        <w:widowControl/>
        <w:rPr>
          <w:noProof/>
          <w:spacing w:val="-4"/>
          <w:lang w:val="it-IT"/>
        </w:rPr>
      </w:pPr>
      <w:r w:rsidRPr="007D2CA8">
        <w:rPr>
          <w:noProof/>
          <w:spacing w:val="-4"/>
          <w:lang w:val="it-IT"/>
        </w:rPr>
        <w:t>In tale quadro, la modalità informativa del revisore attuata nella relazione di revisione può essere oggetto di analisi al fine di evidenziare o meno mutamenti comportamentali. Il periodo 2004 – 2011 copre un arco temporale sufficiente per osservare eventualmente tali cambiamenti. In particolare, il provvedimento della Banca d’Italia/Consob/Isvap (2009) ha costituito l’occasione per il confronto tra due periodi temporali come scritto in precedenza. In particolare, poiché il documento citato è stato pubblicato all’inizio di febbraio 2009, le prime relazioni di revisione potenzialmente influenzate sono state quelle relative ai bilanci 2008. Per questo motivo abbiamo articolato la ricerca confrontando i due periodi 2004-2007 e 2008-2011. Consapevoli della discrezionalità insita nella classificazione delle informazioni, abbiamo avviato un’analisi esplorativa utilizzando come griglia di indicatori informativi quelli presenti nel principio di revisione Documento n. 570 (Continuità aziendale), ispirato dal principio di revisione internazionale ISA (International Standard on Auditing) 570. Tali indicatori sono stati interpretati e classificati nell’aspetto qualitativo se descritti in modo narrativo con aggettivi o altre forme espressive oppure nell’aspetto quantitativo se nella relazione del revisore viene riportata la quantità (numerica) dell’indicatore.</w:t>
      </w:r>
    </w:p>
    <w:p w:rsidR="00024F4F" w:rsidRPr="007D2CA8" w:rsidRDefault="00024F4F" w:rsidP="005D3819">
      <w:pPr>
        <w:pStyle w:val="ATesto"/>
        <w:widowControl/>
        <w:rPr>
          <w:noProof/>
          <w:spacing w:val="-4"/>
          <w:lang w:val="it-IT"/>
        </w:rPr>
      </w:pPr>
      <w:r w:rsidRPr="007D2CA8">
        <w:rPr>
          <w:noProof/>
          <w:spacing w:val="-4"/>
          <w:lang w:val="it-IT"/>
        </w:rPr>
        <w:t>La questione della continuità aziendale è stata tradizionalmente considerata nei principi di revisione con diversi approcci; ad esempio, negli Stati Uniti, già i principi di revisione Statement of Auditing Standard (SAS) n. 58 e SAS n. 59 contenevano linee guida relative alla responsabilità del revisore nel riportare informazioni nella relazione in presenza di incertezze sulla continuità aziendale, mentre il precedente SAS n. 34 non richiedeva al revisore una valutazione esplicita della capacità dell’azienda di continuare ad operare (</w:t>
      </w:r>
      <w:r w:rsidRPr="007D2CA8">
        <w:rPr>
          <w:noProof/>
          <w:spacing w:val="-4"/>
          <w:sz w:val="18"/>
          <w:szCs w:val="18"/>
          <w:lang w:val="it-IT"/>
        </w:rPr>
        <w:t>G</w:t>
      </w:r>
      <w:r w:rsidR="005D3819" w:rsidRPr="007D2CA8">
        <w:rPr>
          <w:noProof/>
          <w:spacing w:val="-4"/>
          <w:sz w:val="18"/>
          <w:szCs w:val="18"/>
          <w:lang w:val="it-IT"/>
        </w:rPr>
        <w:t>EIGER</w:t>
      </w:r>
      <w:r w:rsidRPr="007D2CA8">
        <w:rPr>
          <w:noProof/>
          <w:spacing w:val="-4"/>
          <w:sz w:val="18"/>
          <w:szCs w:val="18"/>
          <w:lang w:val="it-IT"/>
        </w:rPr>
        <w:t xml:space="preserve"> </w:t>
      </w:r>
      <w:r w:rsidR="00D21FD2" w:rsidRPr="007D2CA8">
        <w:rPr>
          <w:noProof/>
          <w:spacing w:val="-4"/>
          <w:lang w:val="it-IT"/>
        </w:rPr>
        <w:t>et al</w:t>
      </w:r>
      <w:r w:rsidRPr="007D2CA8">
        <w:rPr>
          <w:noProof/>
          <w:spacing w:val="-4"/>
          <w:lang w:val="it-IT"/>
        </w:rPr>
        <w:t xml:space="preserve">., 1995). Recenti sviluppi della relazione del revisore in relazione al tema della continuità aziendale sono trattati nel successivo paragrafo 2. Inoltre, alcuni Autori hanno avviato studi empirici al fine di predisporre dei modelli decisionali utilizzabili da parte del revisore nei casi di incertezze </w:t>
      </w:r>
      <w:r w:rsidRPr="007D2CA8">
        <w:rPr>
          <w:noProof/>
          <w:spacing w:val="-4"/>
          <w:lang w:val="it-IT"/>
        </w:rPr>
        <w:lastRenderedPageBreak/>
        <w:t xml:space="preserve">sulla continuità aziendale (per esempio, </w:t>
      </w:r>
      <w:r w:rsidRPr="007D2CA8">
        <w:rPr>
          <w:noProof/>
          <w:spacing w:val="-4"/>
          <w:sz w:val="18"/>
          <w:szCs w:val="18"/>
          <w:lang w:val="it-IT"/>
        </w:rPr>
        <w:t>A</w:t>
      </w:r>
      <w:r w:rsidR="005D3819" w:rsidRPr="007D2CA8">
        <w:rPr>
          <w:noProof/>
          <w:spacing w:val="-4"/>
          <w:sz w:val="18"/>
          <w:szCs w:val="18"/>
          <w:lang w:val="it-IT"/>
        </w:rPr>
        <w:t xml:space="preserve">LTMAN </w:t>
      </w:r>
      <w:r w:rsidR="005D3819" w:rsidRPr="007D2CA8">
        <w:rPr>
          <w:noProof/>
          <w:spacing w:val="-4"/>
          <w:lang w:val="it-IT"/>
        </w:rPr>
        <w:t xml:space="preserve">e </w:t>
      </w:r>
      <w:r w:rsidR="005D3819" w:rsidRPr="007D2CA8">
        <w:rPr>
          <w:noProof/>
          <w:spacing w:val="-4"/>
          <w:sz w:val="18"/>
          <w:szCs w:val="18"/>
          <w:lang w:val="it-IT"/>
        </w:rPr>
        <w:t>MC</w:t>
      </w:r>
      <w:r w:rsidRPr="007D2CA8">
        <w:rPr>
          <w:noProof/>
          <w:spacing w:val="-4"/>
          <w:sz w:val="18"/>
          <w:szCs w:val="18"/>
          <w:lang w:val="it-IT"/>
        </w:rPr>
        <w:t>G</w:t>
      </w:r>
      <w:r w:rsidR="005D3819" w:rsidRPr="007D2CA8">
        <w:rPr>
          <w:noProof/>
          <w:spacing w:val="-4"/>
          <w:sz w:val="18"/>
          <w:szCs w:val="18"/>
          <w:lang w:val="it-IT"/>
        </w:rPr>
        <w:t>OUGH</w:t>
      </w:r>
      <w:r w:rsidRPr="007D2CA8">
        <w:rPr>
          <w:noProof/>
          <w:spacing w:val="-4"/>
          <w:lang w:val="it-IT"/>
        </w:rPr>
        <w:t xml:space="preserve">, 1974; </w:t>
      </w:r>
      <w:r w:rsidRPr="007D2CA8">
        <w:rPr>
          <w:noProof/>
          <w:spacing w:val="-4"/>
          <w:sz w:val="18"/>
          <w:szCs w:val="18"/>
          <w:lang w:val="it-IT"/>
        </w:rPr>
        <w:t>B</w:t>
      </w:r>
      <w:r w:rsidR="005D3819" w:rsidRPr="007D2CA8">
        <w:rPr>
          <w:noProof/>
          <w:spacing w:val="-4"/>
          <w:sz w:val="18"/>
          <w:szCs w:val="18"/>
          <w:lang w:val="it-IT"/>
        </w:rPr>
        <w:t>EAVER</w:t>
      </w:r>
      <w:r w:rsidRPr="007D2CA8">
        <w:rPr>
          <w:noProof/>
          <w:spacing w:val="-4"/>
          <w:lang w:val="it-IT"/>
        </w:rPr>
        <w:t xml:space="preserve">, 1996; </w:t>
      </w:r>
      <w:r w:rsidRPr="007D2CA8">
        <w:rPr>
          <w:noProof/>
          <w:spacing w:val="-4"/>
          <w:sz w:val="18"/>
          <w:szCs w:val="18"/>
          <w:lang w:val="it-IT"/>
        </w:rPr>
        <w:t>B</w:t>
      </w:r>
      <w:r w:rsidR="005D3819" w:rsidRPr="007D2CA8">
        <w:rPr>
          <w:noProof/>
          <w:spacing w:val="-4"/>
          <w:sz w:val="18"/>
          <w:szCs w:val="18"/>
          <w:lang w:val="it-IT"/>
        </w:rPr>
        <w:t>EHN</w:t>
      </w:r>
      <w:r w:rsidRPr="007D2CA8">
        <w:rPr>
          <w:noProof/>
          <w:spacing w:val="-4"/>
          <w:lang w:val="it-IT"/>
        </w:rPr>
        <w:t xml:space="preserve"> et. al. 2001; </w:t>
      </w:r>
      <w:r w:rsidRPr="007D2CA8">
        <w:rPr>
          <w:noProof/>
          <w:spacing w:val="-4"/>
          <w:sz w:val="18"/>
          <w:szCs w:val="18"/>
          <w:lang w:val="it-IT"/>
        </w:rPr>
        <w:t>B</w:t>
      </w:r>
      <w:r w:rsidR="005D3819" w:rsidRPr="007D2CA8">
        <w:rPr>
          <w:noProof/>
          <w:spacing w:val="-4"/>
          <w:sz w:val="18"/>
          <w:szCs w:val="18"/>
          <w:lang w:val="it-IT"/>
        </w:rPr>
        <w:t>ELL</w:t>
      </w:r>
      <w:r w:rsidRPr="007D2CA8">
        <w:rPr>
          <w:noProof/>
          <w:spacing w:val="-4"/>
          <w:lang w:val="it-IT"/>
        </w:rPr>
        <w:t xml:space="preserve"> e </w:t>
      </w:r>
      <w:r w:rsidRPr="007D2CA8">
        <w:rPr>
          <w:noProof/>
          <w:spacing w:val="-4"/>
          <w:sz w:val="18"/>
          <w:szCs w:val="18"/>
          <w:lang w:val="it-IT"/>
        </w:rPr>
        <w:t>T</w:t>
      </w:r>
      <w:r w:rsidR="005D3819" w:rsidRPr="007D2CA8">
        <w:rPr>
          <w:noProof/>
          <w:spacing w:val="-4"/>
          <w:sz w:val="18"/>
          <w:szCs w:val="18"/>
          <w:lang w:val="it-IT"/>
        </w:rPr>
        <w:t>ABOR</w:t>
      </w:r>
      <w:r w:rsidRPr="007D2CA8">
        <w:rPr>
          <w:noProof/>
          <w:spacing w:val="-4"/>
          <w:lang w:val="it-IT"/>
        </w:rPr>
        <w:t xml:space="preserve">, 1991; </w:t>
      </w:r>
      <w:r w:rsidRPr="007D2CA8">
        <w:rPr>
          <w:noProof/>
          <w:spacing w:val="-4"/>
          <w:sz w:val="18"/>
          <w:szCs w:val="18"/>
          <w:lang w:val="it-IT"/>
        </w:rPr>
        <w:t>M</w:t>
      </w:r>
      <w:r w:rsidR="005D3819" w:rsidRPr="007D2CA8">
        <w:rPr>
          <w:noProof/>
          <w:spacing w:val="-4"/>
          <w:sz w:val="18"/>
          <w:szCs w:val="18"/>
          <w:lang w:val="it-IT"/>
        </w:rPr>
        <w:t>ENON</w:t>
      </w:r>
      <w:r w:rsidRPr="007D2CA8">
        <w:rPr>
          <w:noProof/>
          <w:spacing w:val="-4"/>
          <w:lang w:val="it-IT"/>
        </w:rPr>
        <w:t xml:space="preserve"> e </w:t>
      </w:r>
      <w:r w:rsidRPr="007D2CA8">
        <w:rPr>
          <w:noProof/>
          <w:spacing w:val="-4"/>
          <w:sz w:val="18"/>
          <w:szCs w:val="18"/>
          <w:lang w:val="it-IT"/>
        </w:rPr>
        <w:t>S</w:t>
      </w:r>
      <w:r w:rsidR="005D3819" w:rsidRPr="007D2CA8">
        <w:rPr>
          <w:noProof/>
          <w:spacing w:val="-4"/>
          <w:sz w:val="18"/>
          <w:szCs w:val="18"/>
          <w:lang w:val="it-IT"/>
        </w:rPr>
        <w:t>CHWARTZ</w:t>
      </w:r>
      <w:r w:rsidRPr="007D2CA8">
        <w:rPr>
          <w:noProof/>
          <w:spacing w:val="-4"/>
          <w:lang w:val="it-IT"/>
        </w:rPr>
        <w:t>, 1987).</w:t>
      </w:r>
    </w:p>
    <w:p w:rsidR="00024F4F" w:rsidRPr="007D2CA8" w:rsidRDefault="00024F4F" w:rsidP="005B7C49">
      <w:pPr>
        <w:pStyle w:val="ATesto"/>
        <w:widowControl/>
        <w:rPr>
          <w:noProof/>
          <w:spacing w:val="-4"/>
          <w:lang w:val="it-IT"/>
        </w:rPr>
      </w:pPr>
      <w:r w:rsidRPr="007D2CA8">
        <w:rPr>
          <w:noProof/>
          <w:spacing w:val="-4"/>
          <w:lang w:val="it-IT"/>
        </w:rPr>
        <w:t>L’indagine empirica condotta nel presente lavoro costituisce una primo tentativo di classificare le informazioni fornite dal revisore nel contesto italiano, cercando di evidenziare l’eventuale impatto di un provvedimento da parte di autorità di controllo (Banca d’Italia/Consob/Isvap, 2009) che richiama ad una maggiore attenzione nell’applicazione di regole già esistenti.</w:t>
      </w:r>
    </w:p>
    <w:p w:rsidR="00024F4F" w:rsidRPr="007D2CA8" w:rsidRDefault="00024F4F" w:rsidP="005B7C49">
      <w:pPr>
        <w:pStyle w:val="ATesto"/>
        <w:widowControl/>
        <w:rPr>
          <w:noProof/>
          <w:spacing w:val="-4"/>
          <w:lang w:val="it-IT"/>
        </w:rPr>
      </w:pPr>
      <w:r w:rsidRPr="007D2CA8">
        <w:rPr>
          <w:noProof/>
          <w:spacing w:val="-4"/>
          <w:lang w:val="it-IT"/>
        </w:rPr>
        <w:t>Il principale risultato raggiunto è che l’enfasi sull’aspetto qualitativo e quantitativo degli indicatori è mutato in modo significativo nei due sotto periodi analizzati (2004 - 2007 rispetto a 2008 - 2011); in particolare, si è notato un sostanziale spostamento verso la dimensione quantitativa, possibile segnale di maggiore attenzione nel riportare le informazioni da parte del revisore, come raccomandato dal documento congiunto Banca d’Italia/Consob/Isvap (2009) in un periodo caratterizzato dalla crisi finanziaria.</w:t>
      </w:r>
    </w:p>
    <w:p w:rsidR="00024F4F" w:rsidRPr="007D2CA8" w:rsidRDefault="00024F4F" w:rsidP="005B7C49">
      <w:pPr>
        <w:pStyle w:val="ATesto"/>
        <w:widowControl/>
        <w:rPr>
          <w:noProof/>
          <w:spacing w:val="-4"/>
          <w:lang w:val="it-IT"/>
        </w:rPr>
      </w:pPr>
      <w:r w:rsidRPr="007D2CA8">
        <w:rPr>
          <w:noProof/>
          <w:spacing w:val="-4"/>
          <w:lang w:val="it-IT"/>
        </w:rPr>
        <w:t>Il lavoro prosegue con un paragrafo dedicato al dibattito sulla forma e il contenuto della relazione del revisore con particolare riferimento alle situazioni di incertezza sulla continuità aziendale. Di seguito viene proposta una possibile griglia di lettura delle relazioni di revisione. Il paragrafo 4 è dedicato alla metodologia di analisi, mentre il successivo paragrafo riporta i risultati della verifica empirica. Infine sono presentate le conclusioni.</w:t>
      </w:r>
    </w:p>
    <w:p w:rsidR="00024F4F" w:rsidRPr="007D2CA8" w:rsidRDefault="00024F4F" w:rsidP="005B7C49">
      <w:pPr>
        <w:pStyle w:val="ASottotitoloNumerato"/>
        <w:widowControl/>
        <w:rPr>
          <w:spacing w:val="-4"/>
        </w:rPr>
      </w:pPr>
      <w:r w:rsidRPr="007D2CA8">
        <w:rPr>
          <w:spacing w:val="-4"/>
        </w:rPr>
        <w:t>Il dibattito sulla forma e il contenuto della relazione del revisore, in particolare nei casi di giudizi avversi o impossibilità a esprimere giudizi</w:t>
      </w:r>
    </w:p>
    <w:p w:rsidR="00024F4F" w:rsidRPr="007D2CA8" w:rsidRDefault="00024F4F" w:rsidP="005D3819">
      <w:pPr>
        <w:pStyle w:val="ATesto"/>
        <w:widowControl/>
        <w:rPr>
          <w:noProof/>
          <w:spacing w:val="-4"/>
          <w:lang w:val="it-IT"/>
        </w:rPr>
      </w:pPr>
      <w:r w:rsidRPr="007D2CA8">
        <w:rPr>
          <w:noProof/>
          <w:spacing w:val="-4"/>
          <w:lang w:val="it-IT"/>
        </w:rPr>
        <w:t>A livello internazionale e nazionale si è da tempo innescato un percorso di ripensamento dell’attuale modello di relazione di revisione, tanto che già nel 2012 l’IAASB (</w:t>
      </w:r>
      <w:r w:rsidRPr="007D2CA8">
        <w:rPr>
          <w:i/>
          <w:noProof/>
          <w:spacing w:val="-4"/>
          <w:lang w:val="it-IT"/>
        </w:rPr>
        <w:t>International Auditing and Assurance Standards Board</w:t>
      </w:r>
      <w:r w:rsidRPr="007D2CA8">
        <w:rPr>
          <w:noProof/>
          <w:spacing w:val="-4"/>
          <w:lang w:val="it-IT"/>
        </w:rPr>
        <w:t xml:space="preserve">) elaborò </w:t>
      </w:r>
      <w:r w:rsidRPr="007D2CA8">
        <w:rPr>
          <w:i/>
          <w:noProof/>
          <w:spacing w:val="-4"/>
          <w:lang w:val="it-IT"/>
        </w:rPr>
        <w:t>l’Invitation to Comment (ITC) – Improving the auditor’s report</w:t>
      </w:r>
      <w:r w:rsidRPr="007D2CA8">
        <w:rPr>
          <w:noProof/>
          <w:spacing w:val="-4"/>
          <w:lang w:val="it-IT"/>
        </w:rPr>
        <w:t>.</w:t>
      </w:r>
      <w:r w:rsidRPr="007D2CA8">
        <w:rPr>
          <w:spacing w:val="-4"/>
          <w:lang w:val="it-IT"/>
        </w:rPr>
        <w:t xml:space="preserve"> </w:t>
      </w:r>
      <w:r w:rsidRPr="007D2CA8">
        <w:rPr>
          <w:noProof/>
          <w:spacing w:val="-4"/>
          <w:lang w:val="it-IT"/>
        </w:rPr>
        <w:t xml:space="preserve">Il cambiamento della relazione di revisione è stato ritenuto dallo IAASB una delle principali priorità di lavoro nello </w:t>
      </w:r>
      <w:r w:rsidRPr="007D2CA8">
        <w:rPr>
          <w:i/>
          <w:noProof/>
          <w:spacing w:val="-4"/>
          <w:lang w:val="it-IT"/>
        </w:rPr>
        <w:t>Strategy and work programm</w:t>
      </w:r>
      <w:r w:rsidRPr="007D2CA8">
        <w:rPr>
          <w:noProof/>
          <w:spacing w:val="-4"/>
          <w:lang w:val="it-IT"/>
        </w:rPr>
        <w:t xml:space="preserve"> 2012-2014 (progetto </w:t>
      </w:r>
      <w:r w:rsidRPr="007D2CA8">
        <w:rPr>
          <w:i/>
          <w:noProof/>
          <w:spacing w:val="-4"/>
          <w:lang w:val="it-IT"/>
        </w:rPr>
        <w:t>Auditor Reporting</w:t>
      </w:r>
      <w:r w:rsidRPr="007D2CA8">
        <w:rPr>
          <w:noProof/>
          <w:spacing w:val="-4"/>
          <w:lang w:val="it-IT"/>
        </w:rPr>
        <w:t xml:space="preserve">). Nel proporre il nuovo modello di relazione di revisione l’IAASB ha invitato i diversi gruppi di interesse a pronunciarsi in merito. Si è così giunti, nel 2013, alla proposta del nuovo </w:t>
      </w:r>
      <w:r w:rsidRPr="007D2CA8">
        <w:rPr>
          <w:i/>
          <w:noProof/>
          <w:spacing w:val="-4"/>
          <w:lang w:val="it-IT"/>
        </w:rPr>
        <w:t>International Standard on Auditing</w:t>
      </w:r>
      <w:r w:rsidRPr="007D2CA8">
        <w:rPr>
          <w:noProof/>
          <w:spacing w:val="-4"/>
          <w:lang w:val="it-IT"/>
        </w:rPr>
        <w:t xml:space="preserve"> (ISA) 700 (revised) – </w:t>
      </w:r>
      <w:r w:rsidRPr="007D2CA8">
        <w:rPr>
          <w:i/>
          <w:noProof/>
          <w:spacing w:val="-4"/>
          <w:lang w:val="it-IT"/>
        </w:rPr>
        <w:t>Forming an opinion and reporting of financial statements</w:t>
      </w:r>
      <w:r w:rsidRPr="007D2CA8">
        <w:rPr>
          <w:noProof/>
          <w:spacing w:val="-4"/>
          <w:lang w:val="it-IT"/>
        </w:rPr>
        <w:t>. La costante attenzione verso tale documento trova la propria ragion d’essere nel fatto che la relazione di revisione costituisce il documento principale con il quale il revisore comunica all’esterno le conclusioni del proprio lavoro di revisione. La struttura e il contenuto della relazione di revisione, anche al fine di ridurre il c.d. expectation gap (</w:t>
      </w:r>
      <w:r w:rsidRPr="007D2CA8">
        <w:rPr>
          <w:noProof/>
          <w:spacing w:val="-4"/>
          <w:sz w:val="18"/>
          <w:szCs w:val="18"/>
          <w:lang w:val="it-IT"/>
        </w:rPr>
        <w:t>M</w:t>
      </w:r>
      <w:r w:rsidR="005D3819" w:rsidRPr="007D2CA8">
        <w:rPr>
          <w:noProof/>
          <w:spacing w:val="-4"/>
          <w:sz w:val="18"/>
          <w:szCs w:val="18"/>
          <w:lang w:val="it-IT"/>
        </w:rPr>
        <w:t>OCK</w:t>
      </w:r>
      <w:r w:rsidRPr="007D2CA8">
        <w:rPr>
          <w:noProof/>
          <w:spacing w:val="-4"/>
          <w:lang w:val="it-IT"/>
        </w:rPr>
        <w:t xml:space="preserve">, </w:t>
      </w:r>
      <w:r w:rsidRPr="007D2CA8">
        <w:rPr>
          <w:noProof/>
          <w:spacing w:val="-4"/>
          <w:sz w:val="18"/>
          <w:szCs w:val="18"/>
          <w:lang w:val="it-IT"/>
        </w:rPr>
        <w:t>T</w:t>
      </w:r>
      <w:r w:rsidR="005D3819" w:rsidRPr="007D2CA8">
        <w:rPr>
          <w:noProof/>
          <w:spacing w:val="-4"/>
          <w:sz w:val="18"/>
          <w:szCs w:val="18"/>
          <w:lang w:val="it-IT"/>
        </w:rPr>
        <w:t>URNER</w:t>
      </w:r>
      <w:r w:rsidRPr="007D2CA8">
        <w:rPr>
          <w:noProof/>
          <w:spacing w:val="-4"/>
          <w:lang w:val="it-IT"/>
        </w:rPr>
        <w:t xml:space="preserve">, </w:t>
      </w:r>
      <w:r w:rsidRPr="007D2CA8">
        <w:rPr>
          <w:noProof/>
          <w:spacing w:val="-4"/>
          <w:sz w:val="18"/>
          <w:szCs w:val="18"/>
          <w:lang w:val="it-IT"/>
        </w:rPr>
        <w:t>G</w:t>
      </w:r>
      <w:r w:rsidR="005D3819" w:rsidRPr="007D2CA8">
        <w:rPr>
          <w:noProof/>
          <w:spacing w:val="-4"/>
          <w:sz w:val="18"/>
          <w:szCs w:val="18"/>
          <w:lang w:val="it-IT"/>
        </w:rPr>
        <w:t>RAY</w:t>
      </w:r>
      <w:r w:rsidRPr="007D2CA8">
        <w:rPr>
          <w:noProof/>
          <w:spacing w:val="-4"/>
          <w:lang w:val="it-IT"/>
        </w:rPr>
        <w:t xml:space="preserve"> e </w:t>
      </w:r>
      <w:r w:rsidRPr="007D2CA8">
        <w:rPr>
          <w:noProof/>
          <w:spacing w:val="-4"/>
          <w:sz w:val="18"/>
          <w:szCs w:val="18"/>
          <w:lang w:val="it-IT"/>
        </w:rPr>
        <w:t>C</w:t>
      </w:r>
      <w:r w:rsidR="005D3819" w:rsidRPr="007D2CA8">
        <w:rPr>
          <w:noProof/>
          <w:spacing w:val="-4"/>
          <w:sz w:val="18"/>
          <w:szCs w:val="18"/>
          <w:lang w:val="it-IT"/>
        </w:rPr>
        <w:t>ORAM</w:t>
      </w:r>
      <w:r w:rsidRPr="007D2CA8">
        <w:rPr>
          <w:noProof/>
          <w:spacing w:val="-4"/>
          <w:lang w:val="it-IT"/>
        </w:rPr>
        <w:t xml:space="preserve">, 2009; </w:t>
      </w:r>
      <w:r w:rsidRPr="007D2CA8">
        <w:rPr>
          <w:noProof/>
          <w:spacing w:val="-4"/>
          <w:sz w:val="18"/>
          <w:szCs w:val="18"/>
          <w:lang w:val="it-IT"/>
        </w:rPr>
        <w:t>G</w:t>
      </w:r>
      <w:r w:rsidR="005D3819" w:rsidRPr="007D2CA8">
        <w:rPr>
          <w:noProof/>
          <w:spacing w:val="-4"/>
          <w:sz w:val="18"/>
          <w:szCs w:val="18"/>
          <w:lang w:val="it-IT"/>
        </w:rPr>
        <w:t>OLD</w:t>
      </w:r>
      <w:r w:rsidRPr="007D2CA8">
        <w:rPr>
          <w:noProof/>
          <w:spacing w:val="-4"/>
          <w:lang w:val="it-IT"/>
        </w:rPr>
        <w:t xml:space="preserve">, </w:t>
      </w:r>
      <w:r w:rsidRPr="007D2CA8">
        <w:rPr>
          <w:noProof/>
          <w:spacing w:val="-4"/>
          <w:sz w:val="18"/>
          <w:szCs w:val="18"/>
          <w:lang w:val="it-IT"/>
        </w:rPr>
        <w:t>G</w:t>
      </w:r>
      <w:r w:rsidR="005D3819" w:rsidRPr="007D2CA8">
        <w:rPr>
          <w:noProof/>
          <w:spacing w:val="-4"/>
          <w:sz w:val="18"/>
          <w:szCs w:val="18"/>
          <w:lang w:val="it-IT"/>
        </w:rPr>
        <w:t>RONEWOLD</w:t>
      </w:r>
      <w:r w:rsidRPr="007D2CA8">
        <w:rPr>
          <w:noProof/>
          <w:spacing w:val="-4"/>
          <w:lang w:val="it-IT"/>
        </w:rPr>
        <w:t xml:space="preserve"> e </w:t>
      </w:r>
      <w:r w:rsidRPr="007D2CA8">
        <w:rPr>
          <w:noProof/>
          <w:spacing w:val="-4"/>
          <w:sz w:val="18"/>
          <w:szCs w:val="18"/>
          <w:lang w:val="it-IT"/>
        </w:rPr>
        <w:t>P</w:t>
      </w:r>
      <w:r w:rsidR="005D3819" w:rsidRPr="007D2CA8">
        <w:rPr>
          <w:noProof/>
          <w:spacing w:val="-4"/>
          <w:sz w:val="18"/>
          <w:szCs w:val="18"/>
          <w:lang w:val="it-IT"/>
        </w:rPr>
        <w:t>OTT</w:t>
      </w:r>
      <w:r w:rsidRPr="007D2CA8">
        <w:rPr>
          <w:noProof/>
          <w:spacing w:val="-4"/>
          <w:lang w:val="it-IT"/>
        </w:rPr>
        <w:t xml:space="preserve">, 2009; </w:t>
      </w:r>
      <w:r w:rsidRPr="007D2CA8">
        <w:rPr>
          <w:noProof/>
          <w:spacing w:val="-4"/>
          <w:sz w:val="18"/>
          <w:szCs w:val="18"/>
          <w:lang w:val="it-IT"/>
        </w:rPr>
        <w:t>A</w:t>
      </w:r>
      <w:r w:rsidR="005D3819" w:rsidRPr="007D2CA8">
        <w:rPr>
          <w:noProof/>
          <w:spacing w:val="-4"/>
          <w:sz w:val="18"/>
          <w:szCs w:val="18"/>
          <w:lang w:val="it-IT"/>
        </w:rPr>
        <w:t>SARE</w:t>
      </w:r>
      <w:r w:rsidRPr="007D2CA8">
        <w:rPr>
          <w:noProof/>
          <w:spacing w:val="-4"/>
          <w:lang w:val="it-IT"/>
        </w:rPr>
        <w:t xml:space="preserve"> e </w:t>
      </w:r>
      <w:r w:rsidRPr="007D2CA8">
        <w:rPr>
          <w:noProof/>
          <w:spacing w:val="-4"/>
          <w:sz w:val="18"/>
          <w:szCs w:val="18"/>
          <w:lang w:val="it-IT"/>
        </w:rPr>
        <w:t>W</w:t>
      </w:r>
      <w:r w:rsidR="005D3819" w:rsidRPr="007D2CA8">
        <w:rPr>
          <w:noProof/>
          <w:spacing w:val="-4"/>
          <w:sz w:val="18"/>
          <w:szCs w:val="18"/>
          <w:lang w:val="it-IT"/>
        </w:rPr>
        <w:t>RIGHT</w:t>
      </w:r>
      <w:r w:rsidRPr="007D2CA8">
        <w:rPr>
          <w:noProof/>
          <w:spacing w:val="-4"/>
          <w:lang w:val="it-IT"/>
        </w:rPr>
        <w:t>, 2009), sono pensate proprio per rispondere alle mutevoli e differenziate esigenze dei suoi utilizzatori (</w:t>
      </w:r>
      <w:r w:rsidRPr="007D2CA8">
        <w:rPr>
          <w:i/>
          <w:noProof/>
          <w:spacing w:val="-4"/>
          <w:lang w:val="it-IT"/>
        </w:rPr>
        <w:t>users</w:t>
      </w:r>
      <w:r w:rsidRPr="007D2CA8">
        <w:rPr>
          <w:noProof/>
          <w:spacing w:val="-4"/>
          <w:lang w:val="it-IT"/>
        </w:rPr>
        <w:t>).</w:t>
      </w:r>
    </w:p>
    <w:p w:rsidR="00024F4F" w:rsidRPr="007D2CA8" w:rsidRDefault="00024F4F" w:rsidP="005D3819">
      <w:pPr>
        <w:pStyle w:val="ATesto"/>
        <w:widowControl/>
        <w:rPr>
          <w:noProof/>
          <w:spacing w:val="-4"/>
          <w:lang w:val="it-IT"/>
        </w:rPr>
      </w:pPr>
      <w:r w:rsidRPr="007D2CA8">
        <w:rPr>
          <w:noProof/>
          <w:spacing w:val="-4"/>
          <w:lang w:val="it-IT"/>
        </w:rPr>
        <w:t>Si riconosce ormai apertamente da più parti che una migliore comprensione della revisione contabile di bilancio passa anche attraverso nuove e più appropriate forme di comunicazione rispondenti alle maggiori informazioni richieste dagli users, specie in periodi di crisi finanziaria e con particolare riguardo alla questione della continuità aziendale (</w:t>
      </w:r>
      <w:r w:rsidRPr="007D2CA8">
        <w:rPr>
          <w:noProof/>
          <w:spacing w:val="-4"/>
          <w:sz w:val="18"/>
          <w:szCs w:val="18"/>
          <w:lang w:val="it-IT"/>
        </w:rPr>
        <w:t>L</w:t>
      </w:r>
      <w:r w:rsidR="005D3819" w:rsidRPr="007D2CA8">
        <w:rPr>
          <w:noProof/>
          <w:spacing w:val="-4"/>
          <w:sz w:val="18"/>
          <w:szCs w:val="18"/>
          <w:lang w:val="it-IT"/>
        </w:rPr>
        <w:t>ACCHINI</w:t>
      </w:r>
      <w:r w:rsidRPr="007D2CA8">
        <w:rPr>
          <w:noProof/>
          <w:spacing w:val="-4"/>
          <w:lang w:val="it-IT"/>
        </w:rPr>
        <w:t xml:space="preserve">, 1988: 96). </w:t>
      </w:r>
    </w:p>
    <w:p w:rsidR="00024F4F" w:rsidRPr="007D2CA8" w:rsidRDefault="00024F4F" w:rsidP="005D3819">
      <w:pPr>
        <w:pStyle w:val="ATesto"/>
        <w:widowControl/>
        <w:rPr>
          <w:noProof/>
          <w:spacing w:val="-4"/>
          <w:lang w:val="it-IT"/>
        </w:rPr>
      </w:pPr>
      <w:r w:rsidRPr="007D2CA8">
        <w:rPr>
          <w:noProof/>
          <w:spacing w:val="-4"/>
          <w:lang w:val="it-IT"/>
        </w:rPr>
        <w:t>La stessa struttura tendenzialmente standardizzata a contenuto predefinito della relazione del revisore, che storicamente è stata valutata come una felice conquista della tecnica (</w:t>
      </w:r>
      <w:r w:rsidRPr="007D2CA8">
        <w:rPr>
          <w:noProof/>
          <w:spacing w:val="-4"/>
          <w:sz w:val="18"/>
          <w:szCs w:val="18"/>
          <w:lang w:val="it-IT"/>
        </w:rPr>
        <w:t>A</w:t>
      </w:r>
      <w:r w:rsidR="005D3819" w:rsidRPr="007D2CA8">
        <w:rPr>
          <w:noProof/>
          <w:spacing w:val="-4"/>
          <w:sz w:val="18"/>
          <w:szCs w:val="18"/>
          <w:lang w:val="it-IT"/>
        </w:rPr>
        <w:t>MODEO</w:t>
      </w:r>
      <w:r w:rsidRPr="007D2CA8">
        <w:rPr>
          <w:noProof/>
          <w:spacing w:val="-4"/>
          <w:lang w:val="it-IT"/>
        </w:rPr>
        <w:t xml:space="preserve">, 1966: 6-7), viene oggi messa in discussione a favore di </w:t>
      </w:r>
      <w:r w:rsidRPr="007D2CA8">
        <w:rPr>
          <w:i/>
          <w:noProof/>
          <w:spacing w:val="-4"/>
          <w:lang w:val="it-IT"/>
        </w:rPr>
        <w:t>report</w:t>
      </w:r>
      <w:r w:rsidRPr="007D2CA8">
        <w:rPr>
          <w:noProof/>
          <w:spacing w:val="-4"/>
          <w:lang w:val="it-IT"/>
        </w:rPr>
        <w:t xml:space="preserve"> maggiormente </w:t>
      </w:r>
      <w:r w:rsidRPr="007D2CA8">
        <w:rPr>
          <w:noProof/>
          <w:spacing w:val="-4"/>
          <w:lang w:val="it-IT"/>
        </w:rPr>
        <w:lastRenderedPageBreak/>
        <w:t>informativi e più aderenti alla singola realtà operativa. La stessa standardizzazione negli anni ha reso meno pregnante il contenuto della relazione di revisione tanto che ad oggi vi è una domanda di informazioni specifiche orientate sulla singola azienda. Il dibattito sulla nuova struttura di relazione di revisione - per quanto a noi interessa ai fini della ricerca - si è focalizzato sulla continuità aziendale. Questione questa che investe l’azienda nella sua interezza - e non un suo specifico aspetto - e la sua rappresentazione contabile globale.</w:t>
      </w:r>
    </w:p>
    <w:p w:rsidR="00024F4F" w:rsidRPr="007D2CA8" w:rsidRDefault="00024F4F" w:rsidP="005B7C49">
      <w:pPr>
        <w:pStyle w:val="ATesto"/>
        <w:widowControl/>
        <w:rPr>
          <w:noProof/>
          <w:spacing w:val="-4"/>
          <w:lang w:val="it-IT"/>
        </w:rPr>
      </w:pPr>
      <w:r w:rsidRPr="007D2CA8">
        <w:rPr>
          <w:noProof/>
          <w:spacing w:val="-4"/>
          <w:lang w:val="it-IT"/>
        </w:rPr>
        <w:t>A tale proposito, il nuovo modello proposto (IFAC, 2013a) ha tra l’altro previsto uno specifico paragrafo destinato alla continuità operativa (</w:t>
      </w:r>
      <w:r w:rsidRPr="007D2CA8">
        <w:rPr>
          <w:i/>
          <w:noProof/>
          <w:spacing w:val="-4"/>
          <w:lang w:val="it-IT"/>
        </w:rPr>
        <w:t>Going concern</w:t>
      </w:r>
      <w:r w:rsidRPr="007D2CA8">
        <w:rPr>
          <w:noProof/>
          <w:spacing w:val="-4"/>
          <w:lang w:val="it-IT"/>
        </w:rPr>
        <w:t xml:space="preserve">), in linea con quanto previsto dalla bozza di principio di revisione </w:t>
      </w:r>
      <w:r w:rsidRPr="007D2CA8">
        <w:rPr>
          <w:i/>
          <w:noProof/>
          <w:spacing w:val="-4"/>
          <w:lang w:val="it-IT"/>
        </w:rPr>
        <w:t>570</w:t>
      </w:r>
      <w:r w:rsidRPr="007D2CA8">
        <w:rPr>
          <w:noProof/>
          <w:spacing w:val="-4"/>
          <w:lang w:val="it-IT"/>
        </w:rPr>
        <w:t xml:space="preserve"> (IFAC, 2013b), nella versione recentemente rivista e proposta dello IAASB. In tale sezione, in linea con gli orientamenti consolidati, il revisore è chiamato ad attestare, con ragionevole sicurezza, l’appropriatezza dell’utilizzo da parte degli amministratori del presupposto della continuità aziendale. La novità sta nel richiedere una specifica attestazione su tale questione e nel far emergere a livello di relazione di revisione la motivazione dell’adeguatezza del presupposto della continuità aziendale. Motivazione che finora era destinata, in caso di adeguatezza del presupposto in esame, a restare prigioniera nelle carte di lavoro di proprietà del revisore</w:t>
      </w:r>
      <w:r w:rsidRPr="007D2CA8">
        <w:rPr>
          <w:rStyle w:val="ANoteApice"/>
          <w:spacing w:val="-4"/>
        </w:rPr>
        <w:t>(</w:t>
      </w:r>
      <w:r w:rsidRPr="007D2CA8">
        <w:rPr>
          <w:rStyle w:val="ANoteApice"/>
          <w:spacing w:val="-4"/>
        </w:rPr>
        <w:footnoteReference w:id="1"/>
      </w:r>
      <w:r w:rsidRPr="007D2CA8">
        <w:rPr>
          <w:rStyle w:val="ANoteApice"/>
          <w:spacing w:val="-4"/>
        </w:rPr>
        <w:t>)</w:t>
      </w:r>
      <w:r w:rsidRPr="007D2CA8">
        <w:rPr>
          <w:spacing w:val="-4"/>
          <w:lang w:val="it-IT"/>
        </w:rPr>
        <w:t>.</w:t>
      </w:r>
    </w:p>
    <w:p w:rsidR="00024F4F" w:rsidRPr="007D2CA8" w:rsidRDefault="00024F4F" w:rsidP="005B7C49">
      <w:pPr>
        <w:pStyle w:val="ATesto"/>
        <w:widowControl/>
        <w:rPr>
          <w:noProof/>
          <w:spacing w:val="-4"/>
          <w:lang w:val="it-IT"/>
        </w:rPr>
      </w:pPr>
      <w:r w:rsidRPr="007D2CA8">
        <w:rPr>
          <w:noProof/>
          <w:spacing w:val="-4"/>
          <w:lang w:val="it-IT"/>
        </w:rPr>
        <w:t xml:space="preserve">Accanto a tale previsione il nuovo modello di </w:t>
      </w:r>
      <w:r w:rsidRPr="007D2CA8">
        <w:rPr>
          <w:i/>
          <w:noProof/>
          <w:spacing w:val="-4"/>
          <w:lang w:val="it-IT"/>
        </w:rPr>
        <w:t>report</w:t>
      </w:r>
      <w:r w:rsidRPr="007D2CA8">
        <w:rPr>
          <w:noProof/>
          <w:spacing w:val="-4"/>
          <w:lang w:val="it-IT"/>
        </w:rPr>
        <w:t xml:space="preserve"> richiede al revisore anche di effettuare, sulla base del lavoro svolto, una specifica affermazione (</w:t>
      </w:r>
      <w:r w:rsidRPr="007D2CA8">
        <w:rPr>
          <w:i/>
          <w:noProof/>
          <w:spacing w:val="-4"/>
          <w:lang w:val="it-IT"/>
        </w:rPr>
        <w:t>statement</w:t>
      </w:r>
      <w:r w:rsidRPr="007D2CA8">
        <w:rPr>
          <w:noProof/>
          <w:spacing w:val="-4"/>
          <w:lang w:val="it-IT"/>
        </w:rPr>
        <w:t>) sulla sussistenza di incertezze significative relative ad eventi o condizioni che potrebbero evidenziare dubbi significativi sulla continuità operativa futura dell’azienda (futuro prevedibile), sebbene venga altresì precisato che l’attestazione (</w:t>
      </w:r>
      <w:r w:rsidRPr="007D2CA8">
        <w:rPr>
          <w:i/>
          <w:noProof/>
          <w:spacing w:val="-4"/>
          <w:lang w:val="it-IT"/>
        </w:rPr>
        <w:t>statement</w:t>
      </w:r>
      <w:r w:rsidRPr="007D2CA8">
        <w:rPr>
          <w:noProof/>
          <w:spacing w:val="-4"/>
          <w:lang w:val="it-IT"/>
        </w:rPr>
        <w:t>) del revisore non costituisce una garanzia di funzionamento dell’azienda a causa di eventi o condizioni futuri che non possono essere previsti.</w:t>
      </w:r>
    </w:p>
    <w:p w:rsidR="00024F4F" w:rsidRPr="007D2CA8" w:rsidRDefault="00024F4F" w:rsidP="00D21FD2">
      <w:pPr>
        <w:pStyle w:val="ATesto"/>
        <w:widowControl/>
        <w:rPr>
          <w:noProof/>
          <w:spacing w:val="-4"/>
          <w:lang w:val="it-IT"/>
        </w:rPr>
      </w:pPr>
      <w:r w:rsidRPr="007D2CA8">
        <w:rPr>
          <w:noProof/>
          <w:spacing w:val="-4"/>
          <w:lang w:val="it-IT"/>
        </w:rPr>
        <w:t xml:space="preserve">Come noto, focalizzandosi, per quanto qui rileva, solo sulle problematiche connesse alla sussistenza di incertezze significative, il revisore, a seconda delle circostanze ricorrenti, ai sensi del vigente PR n. 570 - </w:t>
      </w:r>
      <w:r w:rsidRPr="007D2CA8">
        <w:rPr>
          <w:i/>
          <w:noProof/>
          <w:spacing w:val="-4"/>
          <w:lang w:val="it-IT"/>
        </w:rPr>
        <w:t>Continuità aziendale</w:t>
      </w:r>
      <w:r w:rsidRPr="007D2CA8">
        <w:rPr>
          <w:noProof/>
          <w:spacing w:val="-4"/>
          <w:lang w:val="it-IT"/>
        </w:rPr>
        <w:t xml:space="preserve"> ha la possibilità di ricorrere all’impiego di diverse tipologie di giudizio (</w:t>
      </w:r>
      <w:r w:rsidRPr="007D2CA8">
        <w:rPr>
          <w:noProof/>
          <w:spacing w:val="-4"/>
          <w:sz w:val="18"/>
          <w:szCs w:val="18"/>
          <w:lang w:val="it-IT"/>
        </w:rPr>
        <w:t>L</w:t>
      </w:r>
      <w:r w:rsidR="005D3819" w:rsidRPr="007D2CA8">
        <w:rPr>
          <w:noProof/>
          <w:spacing w:val="-4"/>
          <w:sz w:val="18"/>
          <w:szCs w:val="18"/>
          <w:lang w:val="it-IT"/>
        </w:rPr>
        <w:t>IVATINO</w:t>
      </w:r>
      <w:r w:rsidRPr="007D2CA8">
        <w:rPr>
          <w:noProof/>
          <w:spacing w:val="-4"/>
          <w:sz w:val="18"/>
          <w:szCs w:val="18"/>
          <w:lang w:val="it-IT"/>
        </w:rPr>
        <w:t xml:space="preserve"> </w:t>
      </w:r>
      <w:r w:rsidR="00D21FD2" w:rsidRPr="007D2CA8">
        <w:rPr>
          <w:noProof/>
          <w:spacing w:val="-4"/>
          <w:lang w:val="it-IT"/>
        </w:rPr>
        <w:t>et</w:t>
      </w:r>
      <w:r w:rsidR="00470383" w:rsidRPr="007D2CA8">
        <w:rPr>
          <w:noProof/>
          <w:spacing w:val="-4"/>
          <w:lang w:val="it-IT"/>
        </w:rPr>
        <w:t xml:space="preserve"> al</w:t>
      </w:r>
      <w:r w:rsidRPr="007D2CA8">
        <w:rPr>
          <w:noProof/>
          <w:spacing w:val="-4"/>
          <w:lang w:val="it-IT"/>
        </w:rPr>
        <w:t xml:space="preserve">., 2005:375; </w:t>
      </w:r>
      <w:r w:rsidRPr="007D2CA8">
        <w:rPr>
          <w:noProof/>
          <w:spacing w:val="-4"/>
          <w:sz w:val="18"/>
          <w:szCs w:val="18"/>
          <w:lang w:val="it-IT"/>
        </w:rPr>
        <w:t>C</w:t>
      </w:r>
      <w:r w:rsidR="005D3819" w:rsidRPr="007D2CA8">
        <w:rPr>
          <w:noProof/>
          <w:spacing w:val="-4"/>
          <w:sz w:val="18"/>
          <w:szCs w:val="18"/>
          <w:lang w:val="it-IT"/>
        </w:rPr>
        <w:t>ADEDDU</w:t>
      </w:r>
      <w:r w:rsidRPr="007D2CA8">
        <w:rPr>
          <w:noProof/>
          <w:spacing w:val="-4"/>
          <w:lang w:val="it-IT"/>
        </w:rPr>
        <w:t xml:space="preserve"> e </w:t>
      </w:r>
      <w:r w:rsidRPr="007D2CA8">
        <w:rPr>
          <w:noProof/>
          <w:spacing w:val="-4"/>
          <w:sz w:val="18"/>
          <w:szCs w:val="18"/>
          <w:lang w:val="it-IT"/>
        </w:rPr>
        <w:t>P</w:t>
      </w:r>
      <w:r w:rsidR="005D3819" w:rsidRPr="007D2CA8">
        <w:rPr>
          <w:noProof/>
          <w:spacing w:val="-4"/>
          <w:sz w:val="18"/>
          <w:szCs w:val="18"/>
          <w:lang w:val="it-IT"/>
        </w:rPr>
        <w:t>ORTALUPI</w:t>
      </w:r>
      <w:r w:rsidRPr="007D2CA8">
        <w:rPr>
          <w:noProof/>
          <w:spacing w:val="-4"/>
          <w:lang w:val="it-IT"/>
        </w:rPr>
        <w:t xml:space="preserve">, 2009: 261). Sulla base degli elementi probativi ottenuti, il revisore è chiamato a concludere se, a suo giudizio, esiste un’incertezza significativa in merito alla appropriatezza del presupposto della continuità aziendale, che renda necessaria una adeguata informativa sulla sua portata e sulle sue  possibili implicazioni, affinché il bilancio non risulti fuorviante. </w:t>
      </w:r>
    </w:p>
    <w:p w:rsidR="00024F4F" w:rsidRPr="007D2CA8" w:rsidRDefault="00024F4F" w:rsidP="005B7C49">
      <w:pPr>
        <w:pStyle w:val="ATesto"/>
        <w:widowControl/>
        <w:rPr>
          <w:noProof/>
          <w:spacing w:val="-4"/>
          <w:lang w:val="it-IT"/>
        </w:rPr>
      </w:pPr>
      <w:r w:rsidRPr="007D2CA8">
        <w:rPr>
          <w:noProof/>
          <w:spacing w:val="-4"/>
          <w:lang w:val="it-IT"/>
        </w:rPr>
        <w:t xml:space="preserve">Sulla base del </w:t>
      </w:r>
      <w:r w:rsidRPr="007D2CA8">
        <w:rPr>
          <w:i/>
          <w:noProof/>
          <w:spacing w:val="-4"/>
          <w:lang w:val="it-IT"/>
        </w:rPr>
        <w:t>PR 570</w:t>
      </w:r>
      <w:r w:rsidRPr="007D2CA8">
        <w:rPr>
          <w:noProof/>
          <w:spacing w:val="-4"/>
          <w:lang w:val="it-IT"/>
        </w:rPr>
        <w:t>, il revisore esprime un giudizio senza “modifica”: a) se l’utilizzo del presupposto della continuità aziendale risulta, nel contesto, adeguato il revisore  esprimerà un giudizio senza rilievi; b) se l’utilizzo del presupposto della continuità aziendale risulta sempre appropriato, ma sussiste un’incertezza significativa adeguatamente descritta in bilancio, il revisore potrà esprimere un giudizio senza rilievi, formulando però un richiamo d’informativa sulla situazione di incertezza descritta nell’informativa di bilancio; c) se gli amministratori ritengono che il presupposto della continuità aziendale non sia appropriato ed hanno conseguentemente redatto il bilancio su basi alternative, il revisore potrà esprimere un giudizio senza rilievi, sempre che sia fornita un’informativa adeguata.</w:t>
      </w:r>
    </w:p>
    <w:p w:rsidR="00024F4F" w:rsidRPr="007D2CA8" w:rsidRDefault="00024F4F" w:rsidP="005B7C49">
      <w:pPr>
        <w:pStyle w:val="ATesto"/>
        <w:widowControl/>
        <w:rPr>
          <w:noProof/>
          <w:spacing w:val="-4"/>
          <w:lang w:val="it-IT"/>
        </w:rPr>
      </w:pPr>
      <w:r w:rsidRPr="007D2CA8">
        <w:rPr>
          <w:noProof/>
          <w:spacing w:val="-4"/>
          <w:lang w:val="it-IT"/>
        </w:rPr>
        <w:lastRenderedPageBreak/>
        <w:t>Il revisore esprime un giudizio con “modifica” (cioè diverso da quello positivo senza rilievi): a) se l’utilizzo del presupposto della continuità aziendale risulta soggetto a molteplici significative incertezze di cui viene data adeguata informativa in bilancio, il revisore può, in casi estremi, concludere di non essere in grado di esprimere il proprio giudizio; b) se l’utilizzo del presupposto della continuità aziendale risulta adeguato, ma sussistono una o più incertezze significative di cui non viene data appropriata informativa in bilancio, il revisore esprimerà un giudizio con rilievi; qualora, invece, gli effetti derivanti dalla inadeguatezza dell’informativa siano così rilevanti e pervasivi da rendere inattendibile il bilancio nel suo complesso, il revisore esprimerà un giudizio avverso; c) se l’utilizzo del presupposto della continuità aziendale adottato dagli amministratori per la redazione del bilancio non risulta appropriato, il revisore esprimerà un giudizio avverso; d) se, su richiesta del revisore, gli amministratori rifiutino di formulare o di estendere la propria valutazione del presupposto della continuità aziendale, il revisore deve considerare gli effetti sulla propria relazione della limitazione al lavoro di revisione ed esprimere, a seconda della fattispecie, un giudizio con rilievi per limitazioni al lavoro di revisione oppure dichiararsi impossibilitato ad esprimere il giudizio.</w:t>
      </w:r>
    </w:p>
    <w:p w:rsidR="00024F4F" w:rsidRPr="007D2CA8" w:rsidRDefault="00024F4F" w:rsidP="005B7C49">
      <w:pPr>
        <w:pStyle w:val="ATesto"/>
        <w:widowControl/>
        <w:rPr>
          <w:spacing w:val="-4"/>
          <w:lang w:val="it-IT"/>
        </w:rPr>
      </w:pPr>
      <w:r w:rsidRPr="007D2CA8">
        <w:rPr>
          <w:noProof/>
          <w:spacing w:val="-4"/>
          <w:lang w:val="it-IT"/>
        </w:rPr>
        <w:t>L’analisi presentata in questa ricerca in relazione alla dichiarazione di impossibilità di esprimere un giudizio avrà come riferimento l’ipotesi in cui l’utilizzo del presupposto della continuità aziendale risulta soggetto a molteplici significative incertezze di cui viene data adeguata informativa in bilancio e il revisore, in casi estremi, ha ritenuto di concludere in tal senso</w:t>
      </w:r>
      <w:r w:rsidRPr="007D2CA8">
        <w:rPr>
          <w:rStyle w:val="Rimandonotaapidipagina"/>
          <w:rFonts w:ascii="Times New Roman" w:hAnsi="Times New Roman"/>
          <w:spacing w:val="-4"/>
          <w:lang w:val="it-IT"/>
        </w:rPr>
        <w:footnoteReference w:id="2"/>
      </w:r>
      <w:r w:rsidRPr="007D2CA8">
        <w:rPr>
          <w:spacing w:val="-4"/>
          <w:lang w:val="it-IT"/>
        </w:rPr>
        <w:t>.</w:t>
      </w:r>
    </w:p>
    <w:p w:rsidR="00024F4F" w:rsidRPr="007D2CA8" w:rsidRDefault="00024F4F" w:rsidP="00714C05">
      <w:pPr>
        <w:pStyle w:val="ASottotitoloNumerato"/>
        <w:widowControl/>
        <w:rPr>
          <w:spacing w:val="-4"/>
        </w:rPr>
      </w:pPr>
      <w:r w:rsidRPr="007D2CA8">
        <w:rPr>
          <w:spacing w:val="-4"/>
        </w:rPr>
        <w:t>Possibili indicatori per la lettura de</w:t>
      </w:r>
      <w:r w:rsidR="00714C05" w:rsidRPr="007D2CA8">
        <w:rPr>
          <w:spacing w:val="-4"/>
        </w:rPr>
        <w:t xml:space="preserve">lla relazione del revisore e la </w:t>
      </w:r>
      <w:r w:rsidRPr="007D2CA8">
        <w:rPr>
          <w:spacing w:val="-4"/>
        </w:rPr>
        <w:t>conseguente formulazione dell’ipotesi empirica</w:t>
      </w:r>
    </w:p>
    <w:p w:rsidR="00024F4F" w:rsidRPr="007D2CA8" w:rsidRDefault="00024F4F" w:rsidP="005B7C49">
      <w:pPr>
        <w:pStyle w:val="ATesto"/>
        <w:widowControl/>
        <w:rPr>
          <w:noProof/>
          <w:spacing w:val="-4"/>
          <w:lang w:val="it-IT"/>
        </w:rPr>
      </w:pPr>
      <w:r w:rsidRPr="007D2CA8">
        <w:rPr>
          <w:noProof/>
          <w:spacing w:val="-4"/>
          <w:lang w:val="it-IT"/>
        </w:rPr>
        <w:t>Come già scritto nell’introduzione, il documento Banca d’Italia/Consob/Isvap (2009) viene considerato come evento oggetto di attenzione per evidenziare eventuali cambiamenti nell’informativa riportata nella relazione del revisore nel caso di giudizi gravi contenenti un riferimento alla questione della continuità aziendale. Tale documento non include alcun obbligo ulteriore bensì richiama l’attenzione sulla puntuale ed esaustiva applicazione delle norme e dei principi contabili vigenti. Tra gli aspetti considerati nel documento vi è il profilo informativo relativo alla continuità aziendale.</w:t>
      </w:r>
    </w:p>
    <w:p w:rsidR="00024F4F" w:rsidRPr="00813D72" w:rsidRDefault="00024F4F" w:rsidP="00714C05">
      <w:pPr>
        <w:pStyle w:val="ATesto"/>
        <w:widowControl/>
        <w:rPr>
          <w:noProof/>
          <w:spacing w:val="-6"/>
          <w:lang w:val="it-IT"/>
        </w:rPr>
      </w:pPr>
      <w:r w:rsidRPr="007D2CA8">
        <w:rPr>
          <w:noProof/>
          <w:spacing w:val="-4"/>
          <w:lang w:val="it-IT"/>
        </w:rPr>
        <w:t xml:space="preserve">I soggetti tenuti al controllo delle informazioni contabili di sintesi annuale possono trovare ausilio nelle prescrizione contenute nei principi di revisione (cfr., per esempio, </w:t>
      </w:r>
      <w:r w:rsidRPr="007D2CA8">
        <w:rPr>
          <w:noProof/>
          <w:spacing w:val="-4"/>
          <w:sz w:val="18"/>
          <w:szCs w:val="18"/>
          <w:lang w:val="it-IT"/>
        </w:rPr>
        <w:t>M</w:t>
      </w:r>
      <w:r w:rsidR="00714C05" w:rsidRPr="007D2CA8">
        <w:rPr>
          <w:noProof/>
          <w:spacing w:val="-4"/>
          <w:sz w:val="18"/>
          <w:szCs w:val="18"/>
          <w:lang w:val="it-IT"/>
        </w:rPr>
        <w:t>ARCHI</w:t>
      </w:r>
      <w:r w:rsidRPr="007D2CA8">
        <w:rPr>
          <w:noProof/>
          <w:spacing w:val="-4"/>
          <w:lang w:val="it-IT"/>
        </w:rPr>
        <w:t xml:space="preserve">, 2012). In particolare, il principio di revisione Documento n. 570 sulla continuità aziendale fornisce delle esemplificazioni in merito a possibili indicatori che possono essere utilizzati al fine di valutare l’esistenza del presupposto della continuità aziendale. Tuttavia, la nostra analisi utilizza quale ripartizione temporale per la verifica empirica l’emanazione del documento congiunto Banca d’Italia/Consob/Isvap (2009), volendo segnalare l’esistenza o meno di cambiamenti di approccio nell’applicazione e interpretazione di norme e principi eventualmente già esistenti prima del 2009, come nel caso del principio di revisione Documento n. 570 sulla continuità aziendale del 2007. Tale analisi risulta utile a verificare se </w:t>
      </w:r>
      <w:r w:rsidRPr="007D2CA8">
        <w:rPr>
          <w:noProof/>
          <w:spacing w:val="-4"/>
          <w:lang w:val="it-IT"/>
        </w:rPr>
        <w:lastRenderedPageBreak/>
        <w:t xml:space="preserve">provvedimenti di autorità di controllo possono modificare l’attenzione e le modalità di applicazione di regole già esistenti. </w:t>
      </w:r>
      <w:r w:rsidRPr="00813D72">
        <w:rPr>
          <w:noProof/>
          <w:spacing w:val="-6"/>
          <w:lang w:val="it-IT"/>
        </w:rPr>
        <w:t>L’idea sottostante la nostra analisi è che per la trasparenza informativa hanno rilievo le modalità interpretative e pertanto potrebbero esserci cambiamenti nell’informazioni fornita ai lettori del bilancio anche applicando le stesse regole.</w:t>
      </w:r>
    </w:p>
    <w:p w:rsidR="00024F4F" w:rsidRPr="007D2CA8" w:rsidRDefault="00024F4F" w:rsidP="005B7C49">
      <w:pPr>
        <w:pStyle w:val="ATesto"/>
        <w:widowControl/>
        <w:rPr>
          <w:noProof/>
          <w:spacing w:val="-4"/>
          <w:lang w:val="it-IT"/>
        </w:rPr>
      </w:pPr>
      <w:r w:rsidRPr="007D2CA8">
        <w:rPr>
          <w:noProof/>
          <w:spacing w:val="-4"/>
          <w:lang w:val="it-IT"/>
        </w:rPr>
        <w:t>Al fine di stabilire un quadro entro il quale raccogliere in modo sistematico le informazioni contenute nelle relazione del revisore, abbiamo fatto riferimento agli indicatori riportati nel paragrafo 6 del Documento n. 570 “Continuità aziendale”, di seguito elencati:</w:t>
      </w:r>
    </w:p>
    <w:p w:rsidR="00024F4F" w:rsidRPr="007D2CA8" w:rsidRDefault="00024F4F" w:rsidP="005B7C49">
      <w:pPr>
        <w:pStyle w:val="ATesto"/>
        <w:widowControl/>
        <w:rPr>
          <w:i/>
          <w:noProof/>
          <w:spacing w:val="-4"/>
          <w:lang w:val="it-IT"/>
        </w:rPr>
      </w:pPr>
      <w:r w:rsidRPr="007D2CA8">
        <w:rPr>
          <w:i/>
          <w:noProof/>
          <w:spacing w:val="-4"/>
          <w:lang w:val="it-IT"/>
        </w:rPr>
        <w:t>Indicatori finanziari</w:t>
      </w:r>
    </w:p>
    <w:p w:rsidR="00024F4F" w:rsidRPr="007D2CA8" w:rsidRDefault="00024F4F" w:rsidP="005B7C49">
      <w:pPr>
        <w:pStyle w:val="AElencoTrattini"/>
        <w:widowControl/>
        <w:rPr>
          <w:spacing w:val="-4"/>
          <w:lang w:val="it-IT"/>
        </w:rPr>
      </w:pPr>
      <w:r w:rsidRPr="007D2CA8">
        <w:rPr>
          <w:spacing w:val="-4"/>
          <w:lang w:val="it-IT"/>
        </w:rPr>
        <w:t>situazione di deficit patrimoniale o di capitale circolante netto negativo;</w:t>
      </w:r>
    </w:p>
    <w:p w:rsidR="00024F4F" w:rsidRPr="007D2CA8" w:rsidRDefault="00024F4F" w:rsidP="005B7C49">
      <w:pPr>
        <w:pStyle w:val="AElencoTrattini"/>
        <w:widowControl/>
        <w:rPr>
          <w:spacing w:val="-4"/>
          <w:lang w:val="it-IT"/>
        </w:rPr>
      </w:pPr>
      <w:r w:rsidRPr="007D2CA8">
        <w:rPr>
          <w:spacing w:val="-4"/>
          <w:lang w:val="it-IT"/>
        </w:rPr>
        <w:t>prestiti a scadenza fissa e prossimi alla scadenza senza che vi siano prospettive veros</w:t>
      </w:r>
      <w:r w:rsidRPr="007D2CA8">
        <w:rPr>
          <w:spacing w:val="-4"/>
          <w:lang w:val="it-IT"/>
        </w:rPr>
        <w:t>i</w:t>
      </w:r>
      <w:r w:rsidRPr="007D2CA8">
        <w:rPr>
          <w:spacing w:val="-4"/>
          <w:lang w:val="it-IT"/>
        </w:rPr>
        <w:t>mili di rinnovo o di rimborso; oppure eccessiva dipendenza da prestiti a breve te</w:t>
      </w:r>
      <w:r w:rsidRPr="007D2CA8">
        <w:rPr>
          <w:spacing w:val="-4"/>
          <w:lang w:val="it-IT"/>
        </w:rPr>
        <w:t>r</w:t>
      </w:r>
      <w:r w:rsidRPr="007D2CA8">
        <w:rPr>
          <w:spacing w:val="-4"/>
          <w:lang w:val="it-IT"/>
        </w:rPr>
        <w:t>mine per finanziare attività a lungo termine;</w:t>
      </w:r>
    </w:p>
    <w:p w:rsidR="00024F4F" w:rsidRPr="007D2CA8" w:rsidRDefault="00024F4F" w:rsidP="005B7C49">
      <w:pPr>
        <w:pStyle w:val="AElencoTrattini"/>
        <w:widowControl/>
        <w:rPr>
          <w:spacing w:val="-4"/>
          <w:lang w:val="it-IT"/>
        </w:rPr>
      </w:pPr>
      <w:r w:rsidRPr="007D2CA8">
        <w:rPr>
          <w:spacing w:val="-4"/>
          <w:lang w:val="it-IT"/>
        </w:rPr>
        <w:t>indicazioni di cessazione del sostegno finanziario da parte dei finanziatori e altri cred</w:t>
      </w:r>
      <w:r w:rsidRPr="007D2CA8">
        <w:rPr>
          <w:spacing w:val="-4"/>
          <w:lang w:val="it-IT"/>
        </w:rPr>
        <w:t>i</w:t>
      </w:r>
      <w:r w:rsidRPr="007D2CA8">
        <w:rPr>
          <w:spacing w:val="-4"/>
          <w:lang w:val="it-IT"/>
        </w:rPr>
        <w:t>tori;</w:t>
      </w:r>
    </w:p>
    <w:p w:rsidR="00024F4F" w:rsidRPr="007D2CA8" w:rsidRDefault="00024F4F" w:rsidP="005B7C49">
      <w:pPr>
        <w:pStyle w:val="AElencoTrattini"/>
        <w:widowControl/>
        <w:rPr>
          <w:spacing w:val="-4"/>
          <w:lang w:val="it-IT"/>
        </w:rPr>
      </w:pPr>
      <w:r w:rsidRPr="007D2CA8">
        <w:rPr>
          <w:spacing w:val="-4"/>
          <w:lang w:val="it-IT"/>
        </w:rPr>
        <w:t>bilanci storici o prospettici che mostrano cash flow negativi;</w:t>
      </w:r>
    </w:p>
    <w:p w:rsidR="00024F4F" w:rsidRPr="007D2CA8" w:rsidRDefault="00024F4F" w:rsidP="005B7C49">
      <w:pPr>
        <w:pStyle w:val="AElencoTrattini"/>
        <w:widowControl/>
        <w:rPr>
          <w:spacing w:val="-4"/>
          <w:lang w:val="it-IT"/>
        </w:rPr>
      </w:pPr>
      <w:r w:rsidRPr="007D2CA8">
        <w:rPr>
          <w:spacing w:val="-4"/>
          <w:lang w:val="it-IT"/>
        </w:rPr>
        <w:t>principali indici economico-finanziari negativi;</w:t>
      </w:r>
    </w:p>
    <w:p w:rsidR="00024F4F" w:rsidRPr="007D2CA8" w:rsidRDefault="00024F4F" w:rsidP="005B7C49">
      <w:pPr>
        <w:pStyle w:val="AElencoTrattini"/>
        <w:widowControl/>
        <w:rPr>
          <w:spacing w:val="-4"/>
          <w:lang w:val="it-IT"/>
        </w:rPr>
      </w:pPr>
      <w:r w:rsidRPr="007D2CA8">
        <w:rPr>
          <w:spacing w:val="-4"/>
          <w:lang w:val="it-IT"/>
        </w:rPr>
        <w:t>consistenti perdite operative o significative perdite di valore delle attività che gener</w:t>
      </w:r>
      <w:r w:rsidRPr="007D2CA8">
        <w:rPr>
          <w:spacing w:val="-4"/>
          <w:lang w:val="it-IT"/>
        </w:rPr>
        <w:t>a</w:t>
      </w:r>
      <w:r w:rsidRPr="007D2CA8">
        <w:rPr>
          <w:spacing w:val="-4"/>
          <w:lang w:val="it-IT"/>
        </w:rPr>
        <w:t>no cash flow;</w:t>
      </w:r>
    </w:p>
    <w:p w:rsidR="00024F4F" w:rsidRPr="007D2CA8" w:rsidRDefault="00024F4F" w:rsidP="005B7C49">
      <w:pPr>
        <w:pStyle w:val="AElencoTrattini"/>
        <w:widowControl/>
        <w:rPr>
          <w:spacing w:val="-4"/>
          <w:lang w:val="it-IT"/>
        </w:rPr>
      </w:pPr>
      <w:r w:rsidRPr="007D2CA8">
        <w:rPr>
          <w:spacing w:val="-4"/>
          <w:lang w:val="it-IT"/>
        </w:rPr>
        <w:t>mancanza o discontinuità nella distribuzione dei dividendi;</w:t>
      </w:r>
    </w:p>
    <w:p w:rsidR="00024F4F" w:rsidRPr="007D2CA8" w:rsidRDefault="00024F4F" w:rsidP="005B7C49">
      <w:pPr>
        <w:pStyle w:val="AElencoTrattini"/>
        <w:widowControl/>
        <w:rPr>
          <w:spacing w:val="-4"/>
          <w:lang w:val="it-IT"/>
        </w:rPr>
      </w:pPr>
      <w:r w:rsidRPr="007D2CA8">
        <w:rPr>
          <w:spacing w:val="-4"/>
          <w:lang w:val="it-IT"/>
        </w:rPr>
        <w:t>incapacità di saldare i debiti alla scadenza;</w:t>
      </w:r>
    </w:p>
    <w:p w:rsidR="00024F4F" w:rsidRPr="007D2CA8" w:rsidRDefault="00024F4F" w:rsidP="005B7C49">
      <w:pPr>
        <w:pStyle w:val="AElencoTrattini"/>
        <w:widowControl/>
        <w:rPr>
          <w:spacing w:val="-4"/>
          <w:lang w:val="it-IT"/>
        </w:rPr>
      </w:pPr>
      <w:r w:rsidRPr="007D2CA8">
        <w:rPr>
          <w:spacing w:val="-4"/>
          <w:lang w:val="it-IT"/>
        </w:rPr>
        <w:t>incapacità nel rispettare le clausole contrattuali dei prestiti;</w:t>
      </w:r>
    </w:p>
    <w:p w:rsidR="00024F4F" w:rsidRPr="007D2CA8" w:rsidRDefault="00024F4F" w:rsidP="005B7C49">
      <w:pPr>
        <w:pStyle w:val="AElencoTrattini"/>
        <w:widowControl/>
        <w:rPr>
          <w:spacing w:val="-4"/>
          <w:lang w:val="it-IT"/>
        </w:rPr>
      </w:pPr>
      <w:r w:rsidRPr="007D2CA8">
        <w:rPr>
          <w:spacing w:val="-4"/>
          <w:lang w:val="it-IT"/>
        </w:rPr>
        <w:t>cambiamento delle forme di pagamento concesse dai fornitori dalla condizione “a cr</w:t>
      </w:r>
      <w:r w:rsidRPr="007D2CA8">
        <w:rPr>
          <w:spacing w:val="-4"/>
          <w:lang w:val="it-IT"/>
        </w:rPr>
        <w:t>e</w:t>
      </w:r>
      <w:r w:rsidRPr="007D2CA8">
        <w:rPr>
          <w:spacing w:val="-4"/>
          <w:lang w:val="it-IT"/>
        </w:rPr>
        <w:t>dito” alla condizione “pagamento alla consegna”;</w:t>
      </w:r>
    </w:p>
    <w:p w:rsidR="00024F4F" w:rsidRPr="007D2CA8" w:rsidRDefault="00024F4F" w:rsidP="005B7C49">
      <w:pPr>
        <w:pStyle w:val="AElencoTrattini"/>
        <w:widowControl/>
        <w:rPr>
          <w:spacing w:val="-4"/>
          <w:lang w:val="it-IT"/>
        </w:rPr>
      </w:pPr>
      <w:r w:rsidRPr="007D2CA8">
        <w:rPr>
          <w:spacing w:val="-4"/>
          <w:lang w:val="it-IT"/>
        </w:rPr>
        <w:t>incapacità di ottenere finanziamenti per lo sviluppo di nuovi prodotti ovvero per altri investimenti necessari.</w:t>
      </w:r>
    </w:p>
    <w:p w:rsidR="00BD3051" w:rsidRPr="007D2CA8" w:rsidRDefault="00BD3051" w:rsidP="005B7C49">
      <w:pPr>
        <w:pStyle w:val="AElencoTrattini"/>
        <w:widowControl/>
        <w:numPr>
          <w:ilvl w:val="0"/>
          <w:numId w:val="0"/>
        </w:numPr>
        <w:ind w:left="340"/>
        <w:rPr>
          <w:noProof/>
          <w:spacing w:val="-4"/>
          <w:lang w:val="it-IT"/>
        </w:rPr>
      </w:pPr>
    </w:p>
    <w:p w:rsidR="00024F4F" w:rsidRPr="007D2CA8" w:rsidRDefault="00024F4F" w:rsidP="005B7C49">
      <w:pPr>
        <w:pStyle w:val="ATesto"/>
        <w:widowControl/>
        <w:rPr>
          <w:i/>
          <w:iCs/>
          <w:noProof/>
          <w:spacing w:val="-4"/>
          <w:lang w:val="it-IT"/>
        </w:rPr>
      </w:pPr>
      <w:r w:rsidRPr="007D2CA8">
        <w:rPr>
          <w:i/>
          <w:iCs/>
          <w:noProof/>
          <w:spacing w:val="-4"/>
          <w:lang w:val="it-IT"/>
        </w:rPr>
        <w:t>Indicatori gestionali</w:t>
      </w:r>
    </w:p>
    <w:p w:rsidR="00024F4F" w:rsidRPr="007D2CA8" w:rsidRDefault="00024F4F" w:rsidP="005B7C49">
      <w:pPr>
        <w:pStyle w:val="AElencoTrattini"/>
        <w:widowControl/>
        <w:rPr>
          <w:spacing w:val="-4"/>
          <w:lang w:val="it-IT"/>
        </w:rPr>
      </w:pPr>
      <w:r w:rsidRPr="007D2CA8">
        <w:rPr>
          <w:spacing w:val="-4"/>
          <w:lang w:val="it-IT"/>
        </w:rPr>
        <w:t>perdita di amministratori o di dirigenti chiave senza riuscire a sostituirli;</w:t>
      </w:r>
    </w:p>
    <w:p w:rsidR="00024F4F" w:rsidRPr="007D2CA8" w:rsidRDefault="00024F4F" w:rsidP="005B7C49">
      <w:pPr>
        <w:pStyle w:val="AElencoTrattini"/>
        <w:widowControl/>
        <w:rPr>
          <w:spacing w:val="-4"/>
          <w:lang w:val="it-IT"/>
        </w:rPr>
      </w:pPr>
      <w:r w:rsidRPr="007D2CA8">
        <w:rPr>
          <w:spacing w:val="-4"/>
          <w:lang w:val="it-IT"/>
        </w:rPr>
        <w:t>perdita di mercati fondamentali, di contratti di distribuzione, di concessioni o di forn</w:t>
      </w:r>
      <w:r w:rsidRPr="007D2CA8">
        <w:rPr>
          <w:spacing w:val="-4"/>
          <w:lang w:val="it-IT"/>
        </w:rPr>
        <w:t>i</w:t>
      </w:r>
      <w:r w:rsidRPr="007D2CA8">
        <w:rPr>
          <w:spacing w:val="-4"/>
          <w:lang w:val="it-IT"/>
        </w:rPr>
        <w:t>tori importanti;</w:t>
      </w:r>
    </w:p>
    <w:p w:rsidR="00024F4F" w:rsidRPr="007D2CA8" w:rsidRDefault="00024F4F" w:rsidP="005B7C49">
      <w:pPr>
        <w:pStyle w:val="AElencoTrattini"/>
        <w:widowControl/>
        <w:rPr>
          <w:spacing w:val="-4"/>
          <w:lang w:val="it-IT"/>
        </w:rPr>
      </w:pPr>
      <w:r w:rsidRPr="007D2CA8">
        <w:rPr>
          <w:spacing w:val="-4"/>
          <w:lang w:val="it-IT"/>
        </w:rPr>
        <w:t>difficoltà nell’organico del personale o difficoltà nel mantenere il normale flusso di a</w:t>
      </w:r>
      <w:r w:rsidRPr="007D2CA8">
        <w:rPr>
          <w:spacing w:val="-4"/>
          <w:lang w:val="it-IT"/>
        </w:rPr>
        <w:t>p</w:t>
      </w:r>
      <w:r w:rsidRPr="007D2CA8">
        <w:rPr>
          <w:spacing w:val="-4"/>
          <w:lang w:val="it-IT"/>
        </w:rPr>
        <w:t>provvigionamento da importanti fornitori.</w:t>
      </w:r>
    </w:p>
    <w:p w:rsidR="00BD3051" w:rsidRPr="007D2CA8" w:rsidRDefault="00BD3051" w:rsidP="005B7C49">
      <w:pPr>
        <w:pStyle w:val="AElencoTrattini"/>
        <w:widowControl/>
        <w:numPr>
          <w:ilvl w:val="0"/>
          <w:numId w:val="0"/>
        </w:numPr>
        <w:ind w:left="340"/>
        <w:rPr>
          <w:noProof/>
          <w:spacing w:val="-4"/>
          <w:lang w:val="it-IT"/>
        </w:rPr>
      </w:pPr>
    </w:p>
    <w:p w:rsidR="00024F4F" w:rsidRPr="007D2CA8" w:rsidRDefault="00024F4F" w:rsidP="005B7C49">
      <w:pPr>
        <w:pStyle w:val="ATesto"/>
        <w:widowControl/>
        <w:rPr>
          <w:i/>
          <w:iCs/>
          <w:noProof/>
          <w:spacing w:val="-4"/>
          <w:lang w:val="it-IT"/>
        </w:rPr>
      </w:pPr>
      <w:r w:rsidRPr="007D2CA8">
        <w:rPr>
          <w:i/>
          <w:iCs/>
          <w:noProof/>
          <w:spacing w:val="-4"/>
          <w:lang w:val="it-IT"/>
        </w:rPr>
        <w:t>Altri indicatori</w:t>
      </w:r>
    </w:p>
    <w:p w:rsidR="00024F4F" w:rsidRPr="007D2CA8" w:rsidRDefault="00024F4F" w:rsidP="005B7C49">
      <w:pPr>
        <w:pStyle w:val="AElencoTrattini"/>
        <w:widowControl/>
        <w:rPr>
          <w:spacing w:val="-4"/>
          <w:lang w:val="it-IT"/>
        </w:rPr>
      </w:pPr>
      <w:r w:rsidRPr="007D2CA8">
        <w:rPr>
          <w:spacing w:val="-4"/>
          <w:lang w:val="it-IT"/>
        </w:rPr>
        <w:t>capitale ridotto al di sotto dei limiti legali o non conformità ad altre norme di legge;</w:t>
      </w:r>
    </w:p>
    <w:p w:rsidR="00024F4F" w:rsidRPr="007D2CA8" w:rsidRDefault="00024F4F" w:rsidP="005B7C49">
      <w:pPr>
        <w:pStyle w:val="AElencoTrattini"/>
        <w:widowControl/>
        <w:rPr>
          <w:spacing w:val="-4"/>
          <w:lang w:val="it-IT"/>
        </w:rPr>
      </w:pPr>
      <w:r w:rsidRPr="007D2CA8">
        <w:rPr>
          <w:spacing w:val="-4"/>
          <w:lang w:val="it-IT"/>
        </w:rPr>
        <w:t>contenziosi legali e fiscali che, in caso di soccombenza, potrebbero comportare obbl</w:t>
      </w:r>
      <w:r w:rsidRPr="007D2CA8">
        <w:rPr>
          <w:spacing w:val="-4"/>
          <w:lang w:val="it-IT"/>
        </w:rPr>
        <w:t>i</w:t>
      </w:r>
      <w:r w:rsidRPr="007D2CA8">
        <w:rPr>
          <w:spacing w:val="-4"/>
          <w:lang w:val="it-IT"/>
        </w:rPr>
        <w:t>ghi di risarcimento che l’impresa non è in grado di rispettare;</w:t>
      </w:r>
    </w:p>
    <w:p w:rsidR="00024F4F" w:rsidRPr="007D2CA8" w:rsidRDefault="00024F4F" w:rsidP="005B7C49">
      <w:pPr>
        <w:pStyle w:val="AElencoTrattini"/>
        <w:widowControl/>
        <w:rPr>
          <w:spacing w:val="-4"/>
          <w:lang w:val="it-IT"/>
        </w:rPr>
      </w:pPr>
      <w:r w:rsidRPr="007D2CA8">
        <w:rPr>
          <w:spacing w:val="-4"/>
          <w:lang w:val="it-IT"/>
        </w:rPr>
        <w:t>modifiche legislative o politiche governative dalle quali si attendono effetti sfavor</w:t>
      </w:r>
      <w:r w:rsidRPr="007D2CA8">
        <w:rPr>
          <w:spacing w:val="-4"/>
          <w:lang w:val="it-IT"/>
        </w:rPr>
        <w:t>e</w:t>
      </w:r>
      <w:r w:rsidRPr="007D2CA8">
        <w:rPr>
          <w:spacing w:val="-4"/>
          <w:lang w:val="it-IT"/>
        </w:rPr>
        <w:t>voli all’impresa.</w:t>
      </w:r>
    </w:p>
    <w:p w:rsidR="00024F4F" w:rsidRPr="007D2CA8" w:rsidRDefault="00024F4F" w:rsidP="005B7C49">
      <w:pPr>
        <w:pStyle w:val="AElencoTrattini"/>
        <w:widowControl/>
        <w:numPr>
          <w:ilvl w:val="0"/>
          <w:numId w:val="0"/>
        </w:numPr>
        <w:ind w:left="340"/>
        <w:rPr>
          <w:spacing w:val="-4"/>
          <w:lang w:val="it-IT"/>
        </w:rPr>
      </w:pPr>
    </w:p>
    <w:p w:rsidR="00024F4F" w:rsidRPr="007D2CA8" w:rsidRDefault="00024F4F" w:rsidP="005B7C49">
      <w:pPr>
        <w:pStyle w:val="ATesto"/>
        <w:widowControl/>
        <w:rPr>
          <w:noProof/>
          <w:spacing w:val="-4"/>
          <w:lang w:val="it-IT"/>
        </w:rPr>
      </w:pPr>
      <w:r w:rsidRPr="00EB6301">
        <w:rPr>
          <w:noProof/>
          <w:spacing w:val="-6"/>
          <w:lang w:val="it-IT"/>
        </w:rPr>
        <w:t>Come evidenziato nel documento dello IAASB “Audit Considerations in Respect of Going Concern in the Current Economic Environment” del gennaio 2009, l’interpretazione dei fattori rilevanti nel valutare la continuità aziendale deve tener conto dei fattori di crisi economica e finanziaria ambientali che possono richiedere maggiore attenzione.</w:t>
      </w:r>
      <w:r w:rsidRPr="007D2CA8">
        <w:rPr>
          <w:noProof/>
          <w:spacing w:val="-4"/>
          <w:lang w:val="it-IT"/>
        </w:rPr>
        <w:t xml:space="preserve"> Tali considerazioni sono state confermate nella Comunicazione n. DEM/9012559 del 6 febbraio 2009 avente ad oggetto procedure di revisione e relazione di revisione in presenza di problematiche connesse </w:t>
      </w:r>
      <w:r w:rsidRPr="007D2CA8">
        <w:rPr>
          <w:noProof/>
          <w:spacing w:val="-4"/>
          <w:lang w:val="it-IT"/>
        </w:rPr>
        <w:lastRenderedPageBreak/>
        <w:t>alla continuità aziendale. Tali documenti giustificano ulteriormente lo scopo della nostra analisi come commentato in precedenza.</w:t>
      </w:r>
    </w:p>
    <w:p w:rsidR="00024F4F" w:rsidRPr="007D2CA8" w:rsidRDefault="00024F4F" w:rsidP="005B7C49">
      <w:pPr>
        <w:pStyle w:val="ATesto"/>
        <w:widowControl/>
        <w:rPr>
          <w:noProof/>
          <w:spacing w:val="-4"/>
          <w:lang w:val="it-IT"/>
        </w:rPr>
      </w:pPr>
      <w:r w:rsidRPr="007D2CA8">
        <w:rPr>
          <w:noProof/>
          <w:spacing w:val="-4"/>
          <w:lang w:val="it-IT"/>
        </w:rPr>
        <w:t>Nel documento Banca d’Italia/Consob/Isvap (2009) sono prospettati tre scenari cui i redattori del bilancio possono far riferimento nel presentare le informazioni relative alla continuità aziendale. I tre scenari sono di seguito esposti:</w:t>
      </w:r>
    </w:p>
    <w:p w:rsidR="00024F4F" w:rsidRPr="007D2CA8" w:rsidRDefault="00024F4F" w:rsidP="005B7C49">
      <w:pPr>
        <w:pStyle w:val="AElencoNumerato"/>
        <w:rPr>
          <w:spacing w:val="-4"/>
        </w:rPr>
      </w:pPr>
      <w:r w:rsidRPr="007D2CA8">
        <w:rPr>
          <w:spacing w:val="-4"/>
        </w:rPr>
        <w:t>ragionevole aspettativa che la società continuerà con la sua esistenza operativa in un futuro prevedibile e i redattori della bilancio hanno preparato il documento contabile di sintesi nel presupposto della continuità aziendale; le eventuali incertezze rilevate non risultano essere significative e non generano dubbi sulla continuità aziendale (scenario 1);</w:t>
      </w:r>
    </w:p>
    <w:p w:rsidR="00024F4F" w:rsidRPr="007D2CA8" w:rsidRDefault="00024F4F" w:rsidP="005B7C49">
      <w:pPr>
        <w:pStyle w:val="AElencoNumerato"/>
        <w:rPr>
          <w:spacing w:val="-4"/>
        </w:rPr>
      </w:pPr>
      <w:r w:rsidRPr="007D2CA8">
        <w:rPr>
          <w:spacing w:val="-4"/>
        </w:rPr>
        <w:t>sono stati identificati fattori che possono far sorgere dubbi significativi sulla capacità della società di continuare la propria operatività per un prevedibile futuro, ma i redattori del bilancio considerano che sia comunque appropriato utilizzare il presupposto della continuità aziendale per redigere il bilancio (scenario 2);</w:t>
      </w:r>
    </w:p>
    <w:p w:rsidR="00024F4F" w:rsidRPr="007D2CA8" w:rsidRDefault="00024F4F" w:rsidP="005B7C49">
      <w:pPr>
        <w:pStyle w:val="AElencoNumerato"/>
        <w:rPr>
          <w:spacing w:val="-4"/>
        </w:rPr>
      </w:pPr>
      <w:r w:rsidRPr="007D2CA8">
        <w:rPr>
          <w:spacing w:val="-4"/>
        </w:rPr>
        <w:t>è improbabile che la società continui la propria esistenza operativa in un futuro prevedibile e i redattori del bilancio non ritengono appropriato redigere il bilancio sul presupposto della continuità aziendale (scenario 3).</w:t>
      </w:r>
    </w:p>
    <w:p w:rsidR="00BD3051" w:rsidRPr="007D2CA8" w:rsidRDefault="00BD3051" w:rsidP="005B7C49">
      <w:pPr>
        <w:pStyle w:val="AElencoNumerato"/>
        <w:numPr>
          <w:ilvl w:val="0"/>
          <w:numId w:val="0"/>
        </w:numPr>
        <w:ind w:left="340"/>
        <w:rPr>
          <w:spacing w:val="-4"/>
        </w:rPr>
      </w:pPr>
    </w:p>
    <w:p w:rsidR="00024F4F" w:rsidRPr="007D2CA8" w:rsidRDefault="00024F4F" w:rsidP="005B7C49">
      <w:pPr>
        <w:pStyle w:val="ATesto"/>
        <w:widowControl/>
        <w:rPr>
          <w:noProof/>
          <w:spacing w:val="-4"/>
          <w:lang w:val="it-IT"/>
        </w:rPr>
      </w:pPr>
      <w:r w:rsidRPr="007D2CA8">
        <w:rPr>
          <w:noProof/>
          <w:spacing w:val="-4"/>
          <w:lang w:val="it-IT"/>
        </w:rPr>
        <w:t>Tali argomentazioni, espresse dalla direzione aziendali, sono oggetto di ponderazione e possono essere oggetto di discussione da parte del revisore che sintetizza la sua opinione al momento della emanazione della relazione. Sulla base delle considerazioni sopra esposte, nella verifica empirica sarà oggetto di analisi la presenza nelle relazioni di parametri qualitativi e quantitativi riferibili agli indicatori desunti dal principio di revisione Documento n. 570. L’analisi sarà condotta suddividendo il periodo temporale in due gruppi: 2004 – 2007, e 2008 – 2011, in modo da evidenziare eventuali cambiamenti nella forma comunicativa del revisore. Pertanto, in assenza di una specifica teoria, l’ipotesi empirica che si intende verificare è la seguente:</w:t>
      </w:r>
    </w:p>
    <w:p w:rsidR="00024F4F" w:rsidRPr="007D2CA8" w:rsidRDefault="00024F4F" w:rsidP="005B7C49">
      <w:pPr>
        <w:pStyle w:val="ATesto"/>
        <w:widowControl/>
        <w:rPr>
          <w:noProof/>
          <w:spacing w:val="-4"/>
          <w:lang w:val="it-IT"/>
        </w:rPr>
      </w:pPr>
      <w:r w:rsidRPr="007D2CA8">
        <w:rPr>
          <w:noProof/>
          <w:spacing w:val="-4"/>
          <w:lang w:val="it-IT"/>
        </w:rPr>
        <w:t>H: La presenza di indicatori – parametri espressi in forma quantitativa aumenta rispetto alla forma qualitativa nel periodo 2008 – 2011 rispetto al periodo 2004 – 2007.</w:t>
      </w:r>
    </w:p>
    <w:p w:rsidR="00024F4F" w:rsidRPr="007D2CA8" w:rsidRDefault="00024F4F" w:rsidP="005B7C49">
      <w:pPr>
        <w:pStyle w:val="ASottotitoloNumerato"/>
        <w:widowControl/>
        <w:rPr>
          <w:spacing w:val="-4"/>
        </w:rPr>
      </w:pPr>
      <w:r w:rsidRPr="007D2CA8">
        <w:rPr>
          <w:spacing w:val="-4"/>
        </w:rPr>
        <w:t>Selezione del campione e metodologia di analisi</w:t>
      </w:r>
    </w:p>
    <w:p w:rsidR="00024F4F" w:rsidRPr="007D2CA8" w:rsidRDefault="00024F4F" w:rsidP="00714C05">
      <w:pPr>
        <w:pStyle w:val="ATesto"/>
        <w:widowControl/>
        <w:rPr>
          <w:noProof/>
          <w:spacing w:val="-4"/>
          <w:lang w:val="it-IT"/>
        </w:rPr>
      </w:pPr>
      <w:r w:rsidRPr="007D2CA8">
        <w:rPr>
          <w:noProof/>
          <w:spacing w:val="-4"/>
          <w:lang w:val="it-IT"/>
        </w:rPr>
        <w:t xml:space="preserve">L’indagine è stata condotta sulle relazioni di revisione in cui erano presenti giudizi negativi o impossibilità a esprimere giudizi. In particolare, i giudizi avversi e l’impossibilità a esprimere giudizio con motivazioni legate a dubbi e incertezze relative alla continuità aziendale. I dati sono stati raccolti facendo riferimento alle relazioni annuali Consob per gli anni 2004 – 2011 e consultando le sintesi sui giudizi espressi dalle società di revisione riportati in </w:t>
      </w:r>
      <w:r w:rsidRPr="007D2CA8">
        <w:rPr>
          <w:noProof/>
          <w:spacing w:val="-4"/>
          <w:sz w:val="18"/>
          <w:szCs w:val="18"/>
          <w:lang w:val="it-IT"/>
        </w:rPr>
        <w:t>D</w:t>
      </w:r>
      <w:r w:rsidR="00714C05" w:rsidRPr="007D2CA8">
        <w:rPr>
          <w:noProof/>
          <w:spacing w:val="-4"/>
          <w:sz w:val="18"/>
          <w:szCs w:val="18"/>
          <w:lang w:val="it-IT"/>
        </w:rPr>
        <w:t>I</w:t>
      </w:r>
      <w:r w:rsidRPr="007D2CA8">
        <w:rPr>
          <w:noProof/>
          <w:spacing w:val="-4"/>
          <w:sz w:val="18"/>
          <w:szCs w:val="18"/>
          <w:lang w:val="it-IT"/>
        </w:rPr>
        <w:t xml:space="preserve"> P</w:t>
      </w:r>
      <w:r w:rsidR="00714C05" w:rsidRPr="007D2CA8">
        <w:rPr>
          <w:noProof/>
          <w:spacing w:val="-4"/>
          <w:sz w:val="18"/>
          <w:szCs w:val="18"/>
          <w:lang w:val="it-IT"/>
        </w:rPr>
        <w:t>IETRA</w:t>
      </w:r>
      <w:r w:rsidRPr="007D2CA8">
        <w:rPr>
          <w:noProof/>
          <w:spacing w:val="-4"/>
          <w:lang w:val="it-IT"/>
        </w:rPr>
        <w:t xml:space="preserve"> (2013). Le singole relazioni sono state raccolte dai siti web delle singole società o dal sito di Borsa Italiana. Poiché si è osservato un sostanziale medesimo contenuto nella relazione del revisore del bilancio separato e consolidato, al fine di evitare una semplice duplicazione delle osservazioni, abbiamo incluso nell’analisi la relazione di revisione sul bilancio consolidato se redatto, in alternativa, la relazione di revisione sul bilancio d’esercizio se il consolidato non era disponibile.</w:t>
      </w:r>
    </w:p>
    <w:p w:rsidR="00024F4F" w:rsidRPr="007D2CA8" w:rsidRDefault="00024F4F" w:rsidP="005B7C49">
      <w:pPr>
        <w:pStyle w:val="ATesto"/>
        <w:widowControl/>
        <w:rPr>
          <w:noProof/>
          <w:spacing w:val="-4"/>
          <w:lang w:val="it-IT"/>
        </w:rPr>
      </w:pPr>
      <w:r w:rsidRPr="007D2CA8">
        <w:rPr>
          <w:noProof/>
          <w:spacing w:val="-4"/>
          <w:lang w:val="it-IT"/>
        </w:rPr>
        <w:t xml:space="preserve">Sono state analizzate 63 relazioni di revisione, di cui 53 relative a bilanci consolidati e 10 a bilanci d’esercizio. In totale le relazioni hanno riguardato, per uno o più esercizi, quaranta </w:t>
      </w:r>
      <w:r w:rsidRPr="007D2CA8">
        <w:rPr>
          <w:noProof/>
          <w:spacing w:val="-4"/>
          <w:lang w:val="it-IT"/>
        </w:rPr>
        <w:lastRenderedPageBreak/>
        <w:t>società quotate. In solo due casi, i giudizi del revisore non erano motivati da (o anche da) una situazioni di incertezza. In cinque casi il bilancio preso in esame è stato redatto in assenza del presupposto della continuità aziendale. Le cause che hanno motivato il giudizio di revisione espresso nelle 63 relazioni possono essere disaggregate nel seguente modo:</w:t>
      </w:r>
    </w:p>
    <w:p w:rsidR="00024F4F" w:rsidRPr="007D2CA8" w:rsidRDefault="00024F4F" w:rsidP="005B7C49">
      <w:pPr>
        <w:pStyle w:val="AElencoLettere"/>
        <w:rPr>
          <w:spacing w:val="-4"/>
        </w:rPr>
      </w:pPr>
      <w:r w:rsidRPr="007D2CA8">
        <w:rPr>
          <w:spacing w:val="-4"/>
        </w:rPr>
        <w:t>in 34 relazioni la causa è individuata nelle sole “Incertezze” e il giudizio espresso è stato sempre di “impossibilità”;</w:t>
      </w:r>
    </w:p>
    <w:p w:rsidR="00024F4F" w:rsidRPr="007D2CA8" w:rsidRDefault="00024F4F" w:rsidP="005B7C49">
      <w:pPr>
        <w:pStyle w:val="AElencoLettere"/>
        <w:rPr>
          <w:spacing w:val="-4"/>
        </w:rPr>
      </w:pPr>
      <w:r w:rsidRPr="007D2CA8">
        <w:rPr>
          <w:spacing w:val="-4"/>
        </w:rPr>
        <w:t>in 11 relazioni la causa è individuata nella contestuale presenza di “Limitazioni al lavoro di revisione” e di “Incertezze”, anche in questi casi il giudizio espresso è stato sempre di “impossibilità”. In due casi il bilancio risulta costruito in assenza del presupposto della continuità aziendale;</w:t>
      </w:r>
    </w:p>
    <w:p w:rsidR="00024F4F" w:rsidRPr="007D2CA8" w:rsidRDefault="00024F4F" w:rsidP="005B7C49">
      <w:pPr>
        <w:pStyle w:val="AElencoLettere"/>
        <w:rPr>
          <w:spacing w:val="-4"/>
        </w:rPr>
      </w:pPr>
      <w:r w:rsidRPr="007D2CA8">
        <w:rPr>
          <w:spacing w:val="-4"/>
        </w:rPr>
        <w:t>in 7 relazioni la causa è individuata nella contestuale presenza di “Rilievi del revisore” e di “Incertezze”, che per 5 volte hanno condotto a un giudizio di “impossibilità” e per 2 volte ad un giudizio “negativo”. In un solo caso il bilancio risulta costruito in assenza del presupposto della continuità aziendale;</w:t>
      </w:r>
    </w:p>
    <w:p w:rsidR="00024F4F" w:rsidRPr="007D2CA8" w:rsidRDefault="00024F4F" w:rsidP="005B7C49">
      <w:pPr>
        <w:pStyle w:val="AElencoLettere"/>
        <w:rPr>
          <w:spacing w:val="-4"/>
        </w:rPr>
      </w:pPr>
      <w:r w:rsidRPr="007D2CA8">
        <w:rPr>
          <w:spacing w:val="-4"/>
        </w:rPr>
        <w:t>in 5 relazioni la causa è individuata nella contestuale presenza di “Limitazioni al lavoro di revisione”, “Rilievi del revisore” e di “Incertezze”, che per 2 volte hanno condotto a un giudizio di “impossibilità” e 3 volte ad un giudizio “negativo”. In un solo caso il bilancio risulta predisposto in assenza del presupposto della continuità aziendale;</w:t>
      </w:r>
    </w:p>
    <w:p w:rsidR="00024F4F" w:rsidRPr="007D2CA8" w:rsidRDefault="00024F4F" w:rsidP="005B7C49">
      <w:pPr>
        <w:pStyle w:val="AElencoLettere"/>
        <w:rPr>
          <w:spacing w:val="-4"/>
        </w:rPr>
      </w:pPr>
      <w:r w:rsidRPr="007D2CA8">
        <w:rPr>
          <w:spacing w:val="-4"/>
        </w:rPr>
        <w:t>in 3 relazioni la causa è individuata nella contestuale presenza di “Limitazioni al lavoro di revisione” e di “Rilievi del revisore”, e per 1 volte ha condotto a un giudizio di “impossibilità” e 2 volte ad un giudizio “negativo”. In tutti e 3 i casi il bilancio risulta predisposto sul presupposto della continuità aziendale. Nel caso del giudizio di impossibilità nella relazione del revisore non sono state descritte situazioni di incertezza (tale relazione è stata quindi esclusa dall’analisi empirica), mentre nel caso dei 2 giudizi negativi sono state descritte situazione di incertezza;</w:t>
      </w:r>
    </w:p>
    <w:p w:rsidR="00024F4F" w:rsidRPr="007D2CA8" w:rsidRDefault="00024F4F" w:rsidP="005B7C49">
      <w:pPr>
        <w:pStyle w:val="AElencoLettere"/>
        <w:rPr>
          <w:spacing w:val="-4"/>
        </w:rPr>
      </w:pPr>
      <w:r w:rsidRPr="007D2CA8">
        <w:rPr>
          <w:spacing w:val="-4"/>
        </w:rPr>
        <w:t>in 2 relazioni la causa è individuata solo nei “Rilievi del revisore”, e il giudizio è stato in entrambe “negativo”. In un  caso il bilancio risulta costruito in assenza del presupposto della continuità aziendale. In un caso nella relazione del revisore non sono state descritte situazioni di incertezza, pertanto tale relazione è stata esclusa dall’analisi empirica;</w:t>
      </w:r>
    </w:p>
    <w:p w:rsidR="00024F4F" w:rsidRPr="007D2CA8" w:rsidRDefault="00024F4F" w:rsidP="005B7C49">
      <w:pPr>
        <w:pStyle w:val="AElencoLettere"/>
        <w:rPr>
          <w:spacing w:val="-4"/>
        </w:rPr>
      </w:pPr>
      <w:r w:rsidRPr="007D2CA8">
        <w:rPr>
          <w:spacing w:val="-4"/>
        </w:rPr>
        <w:t>in 1 relazioni la causa è individuata solo nell’“Inopportuno utilizzo presupposto continuità”, e il giudizio è stato “negativo”. Il bilancio risulta costruito sul presupposto della continuità aziendale;</w:t>
      </w:r>
    </w:p>
    <w:p w:rsidR="00BD3051" w:rsidRPr="007D2CA8" w:rsidRDefault="00BD3051" w:rsidP="005B7C49">
      <w:pPr>
        <w:pStyle w:val="AElencoLettere"/>
        <w:numPr>
          <w:ilvl w:val="0"/>
          <w:numId w:val="0"/>
        </w:numPr>
        <w:ind w:left="340"/>
        <w:rPr>
          <w:spacing w:val="-4"/>
        </w:rPr>
      </w:pPr>
    </w:p>
    <w:p w:rsidR="00024F4F" w:rsidRPr="007D2CA8" w:rsidRDefault="00024F4F" w:rsidP="005B7C49">
      <w:pPr>
        <w:pStyle w:val="ATesto"/>
        <w:widowControl/>
        <w:rPr>
          <w:noProof/>
          <w:spacing w:val="-4"/>
          <w:lang w:val="it-IT"/>
        </w:rPr>
      </w:pPr>
      <w:r w:rsidRPr="007D2CA8">
        <w:rPr>
          <w:noProof/>
          <w:spacing w:val="-4"/>
          <w:lang w:val="it-IT"/>
        </w:rPr>
        <w:t>In base a quanto descritto si segnala pertanto che il numero di relazioni prese in esame al fine di verificare gli indicatori utilizzati dai revisori per descrivere le situazioni di incertezza è stato 61, ovvero dalle 63 iniziali sono state escluse le due descritte nei precedenti punti (e) e (f), nelle quali non erano state espresse situazioni di incertezza relative alla continuità aziendale.</w:t>
      </w:r>
    </w:p>
    <w:p w:rsidR="00024F4F" w:rsidRPr="007D2CA8" w:rsidRDefault="00024F4F" w:rsidP="00714C05">
      <w:pPr>
        <w:pStyle w:val="ATesto"/>
        <w:widowControl/>
        <w:rPr>
          <w:noProof/>
          <w:spacing w:val="-4"/>
          <w:lang w:val="it-IT"/>
        </w:rPr>
      </w:pPr>
      <w:r w:rsidRPr="007D2CA8">
        <w:rPr>
          <w:noProof/>
          <w:spacing w:val="-4"/>
          <w:lang w:val="it-IT"/>
        </w:rPr>
        <w:t xml:space="preserve">In merito alla ripartizione degli incarichi, si nota come solo il 65% dei bilanci sia stato sottoposto al giudizio di revisione delle “big four” (41 su 63), rispetto ad una quota media di mercato del periodo 2004 – 2011 di poco superiore al 94%, così come desunto dalle relazioni annuali Consob, con riferimento al totale dei soggetti sottoposti agli obblighi di revisione ai sensi delle disposizioni del D.Lgs. n. 58/1998. Anche se non oggetto specifico della presente ricerca, tale evidenza in qualche modo può segnalare che le big four attuano una politica di </w:t>
      </w:r>
      <w:r w:rsidRPr="007D2CA8">
        <w:rPr>
          <w:noProof/>
          <w:spacing w:val="-4"/>
          <w:lang w:val="it-IT"/>
        </w:rPr>
        <w:lastRenderedPageBreak/>
        <w:t>tutela del loro patrimonio reputazionale (</w:t>
      </w:r>
      <w:r w:rsidRPr="007D2CA8">
        <w:rPr>
          <w:noProof/>
          <w:spacing w:val="-4"/>
          <w:sz w:val="18"/>
          <w:szCs w:val="18"/>
          <w:lang w:val="it-IT"/>
        </w:rPr>
        <w:t>D</w:t>
      </w:r>
      <w:r w:rsidR="00714C05" w:rsidRPr="007D2CA8">
        <w:rPr>
          <w:noProof/>
          <w:spacing w:val="-4"/>
          <w:sz w:val="18"/>
          <w:szCs w:val="18"/>
          <w:lang w:val="it-IT"/>
        </w:rPr>
        <w:t>E</w:t>
      </w:r>
      <w:r w:rsidRPr="007D2CA8">
        <w:rPr>
          <w:noProof/>
          <w:spacing w:val="-4"/>
          <w:sz w:val="18"/>
          <w:szCs w:val="18"/>
          <w:lang w:val="it-IT"/>
        </w:rPr>
        <w:t xml:space="preserve"> A</w:t>
      </w:r>
      <w:r w:rsidR="00714C05" w:rsidRPr="007D2CA8">
        <w:rPr>
          <w:noProof/>
          <w:spacing w:val="-4"/>
          <w:sz w:val="18"/>
          <w:szCs w:val="18"/>
          <w:lang w:val="it-IT"/>
        </w:rPr>
        <w:t>NGELO</w:t>
      </w:r>
      <w:r w:rsidRPr="007D2CA8">
        <w:rPr>
          <w:noProof/>
          <w:spacing w:val="-4"/>
          <w:lang w:val="it-IT"/>
        </w:rPr>
        <w:t>, 1981) evitando situazioni di revisione potenzialmente più rischiose.</w:t>
      </w:r>
    </w:p>
    <w:p w:rsidR="00024F4F" w:rsidRPr="007D2CA8" w:rsidRDefault="00024F4F" w:rsidP="00714C05">
      <w:pPr>
        <w:pStyle w:val="ATesto"/>
        <w:widowControl/>
        <w:rPr>
          <w:noProof/>
          <w:spacing w:val="-4"/>
          <w:lang w:val="it-IT"/>
        </w:rPr>
      </w:pPr>
      <w:r w:rsidRPr="007D2CA8">
        <w:rPr>
          <w:noProof/>
          <w:spacing w:val="-4"/>
          <w:lang w:val="it-IT"/>
        </w:rPr>
        <w:t xml:space="preserve">L’analisi delle informazioni è avvenuta mediante lettura delle relazioni, cercando i riferimenti riconducibili agli indicatori riportati in precedenza (codificati ai fini dell’analisi come indicato in Tabella 1). Si segnala che seguendo la metodologia di ricerca basata sulla </w:t>
      </w:r>
      <w:r w:rsidRPr="007D2CA8">
        <w:rPr>
          <w:i/>
          <w:noProof/>
          <w:spacing w:val="-4"/>
          <w:lang w:val="it-IT"/>
        </w:rPr>
        <w:t>content analysis</w:t>
      </w:r>
      <w:r w:rsidRPr="007D2CA8">
        <w:rPr>
          <w:noProof/>
          <w:spacing w:val="-4"/>
          <w:lang w:val="it-IT"/>
        </w:rPr>
        <w:t xml:space="preserve"> altri Autori hanno analizzato il contenuto della relazione del revisore con particolare riferimento al sistema di controllo interno (per esempio, </w:t>
      </w:r>
      <w:r w:rsidRPr="007D2CA8">
        <w:rPr>
          <w:noProof/>
          <w:spacing w:val="-4"/>
          <w:sz w:val="18"/>
          <w:szCs w:val="18"/>
          <w:lang w:val="it-IT"/>
        </w:rPr>
        <w:t>B</w:t>
      </w:r>
      <w:r w:rsidR="00714C05" w:rsidRPr="007D2CA8">
        <w:rPr>
          <w:noProof/>
          <w:spacing w:val="-4"/>
          <w:sz w:val="18"/>
          <w:szCs w:val="18"/>
          <w:lang w:val="it-IT"/>
        </w:rPr>
        <w:t>ORITZ</w:t>
      </w:r>
      <w:r w:rsidRPr="007D2CA8">
        <w:rPr>
          <w:noProof/>
          <w:spacing w:val="-4"/>
          <w:lang w:val="it-IT"/>
        </w:rPr>
        <w:t xml:space="preserve"> </w:t>
      </w:r>
      <w:r w:rsidR="00D21FD2" w:rsidRPr="007D2CA8">
        <w:rPr>
          <w:noProof/>
          <w:spacing w:val="-4"/>
          <w:lang w:val="it-IT"/>
        </w:rPr>
        <w:t>et</w:t>
      </w:r>
      <w:r w:rsidR="00D21FD2" w:rsidRPr="007D2CA8">
        <w:rPr>
          <w:i/>
          <w:noProof/>
          <w:spacing w:val="-4"/>
          <w:lang w:val="it-IT"/>
        </w:rPr>
        <w:t xml:space="preserve"> </w:t>
      </w:r>
      <w:r w:rsidR="00D21FD2" w:rsidRPr="007D2CA8">
        <w:rPr>
          <w:iCs/>
          <w:noProof/>
          <w:spacing w:val="-4"/>
          <w:lang w:val="it-IT"/>
        </w:rPr>
        <w:t>al</w:t>
      </w:r>
      <w:r w:rsidRPr="007D2CA8">
        <w:rPr>
          <w:i/>
          <w:noProof/>
          <w:spacing w:val="-4"/>
          <w:lang w:val="it-IT"/>
        </w:rPr>
        <w:t>.</w:t>
      </w:r>
      <w:r w:rsidRPr="007D2CA8">
        <w:rPr>
          <w:noProof/>
          <w:spacing w:val="-4"/>
          <w:lang w:val="it-IT"/>
        </w:rPr>
        <w:t>, 2013). Per ciascun indicatore abbiamo riportato se il revisore ne esprime l’aspetto qualitativo, mediante l’uso di espressioni narrative (per esempio, perdite operative consistenti), oppure l’aspetto quantitativo numerico (per esempio, perdite operative pari a un certo ammontare in euro). È opportuno notare che gli indicatori utilizzati erano presenti anche nel principio di revisione n. 21 previgente al principio di revisione n. 570, comunque sempre ispirati dal principio internazionale ISA 570.</w:t>
      </w:r>
    </w:p>
    <w:p w:rsidR="00024F4F" w:rsidRPr="007D2CA8" w:rsidRDefault="00024F4F" w:rsidP="005B7C49">
      <w:pPr>
        <w:pStyle w:val="ATesto"/>
        <w:widowControl/>
        <w:rPr>
          <w:noProof/>
          <w:spacing w:val="-4"/>
          <w:lang w:val="it-IT"/>
        </w:rPr>
      </w:pPr>
      <w:r w:rsidRPr="007D2CA8">
        <w:rPr>
          <w:noProof/>
          <w:spacing w:val="-4"/>
          <w:lang w:val="it-IT"/>
        </w:rPr>
        <w:t xml:space="preserve">La costruzione della base dati è avventa utilizzando un codice binario (0=indicatore no; 1=indicatore si), con le seguenti avvertenze: </w:t>
      </w:r>
    </w:p>
    <w:p w:rsidR="00024F4F" w:rsidRPr="007D2CA8" w:rsidRDefault="00024F4F" w:rsidP="005B7C49">
      <w:pPr>
        <w:pStyle w:val="AElencoTrattini"/>
        <w:widowControl/>
        <w:rPr>
          <w:noProof/>
          <w:spacing w:val="-4"/>
          <w:lang w:val="it-IT"/>
        </w:rPr>
      </w:pPr>
      <w:r w:rsidRPr="007D2CA8">
        <w:rPr>
          <w:noProof/>
          <w:spacing w:val="-4"/>
          <w:lang w:val="it-IT"/>
        </w:rPr>
        <w:t>nel caso in cui nelle singole relazioni ricorressero indicatori sia quantitativi che qualitativi riferiti alla stessa circostanza di incertezza è stato considerato il dato come quantitativo e qualitativo;</w:t>
      </w:r>
    </w:p>
    <w:p w:rsidR="00024F4F" w:rsidRPr="007D2CA8" w:rsidRDefault="00024F4F" w:rsidP="005B7C49">
      <w:pPr>
        <w:pStyle w:val="AElencoTrattini"/>
        <w:widowControl/>
        <w:rPr>
          <w:noProof/>
          <w:spacing w:val="-4"/>
          <w:lang w:val="it-IT"/>
        </w:rPr>
      </w:pPr>
      <w:r w:rsidRPr="007D2CA8">
        <w:rPr>
          <w:noProof/>
          <w:spacing w:val="-4"/>
          <w:lang w:val="it-IT"/>
        </w:rPr>
        <w:t>nel caso in cui nelle singole relazioni ricorressero più volte gli stessi indicatori sia quantitativi che qualitativi riferiti alla stessa circostanza di incertezza il dato è stato considerato una sola volta.</w:t>
      </w:r>
    </w:p>
    <w:p w:rsidR="00BD3051" w:rsidRPr="007D2CA8" w:rsidRDefault="00BD3051" w:rsidP="005B7C49">
      <w:pPr>
        <w:pStyle w:val="AElencoTrattini"/>
        <w:widowControl/>
        <w:numPr>
          <w:ilvl w:val="0"/>
          <w:numId w:val="0"/>
        </w:numPr>
        <w:ind w:left="340"/>
        <w:rPr>
          <w:noProof/>
          <w:spacing w:val="-4"/>
          <w:lang w:val="it-IT"/>
        </w:rPr>
      </w:pPr>
    </w:p>
    <w:p w:rsidR="00024F4F" w:rsidRPr="007D2CA8" w:rsidRDefault="00024F4F" w:rsidP="005B7C49">
      <w:pPr>
        <w:pStyle w:val="ATesto"/>
        <w:widowControl/>
        <w:rPr>
          <w:noProof/>
          <w:spacing w:val="-4"/>
          <w:lang w:val="it-IT"/>
        </w:rPr>
      </w:pPr>
      <w:r w:rsidRPr="007D2CA8">
        <w:rPr>
          <w:noProof/>
          <w:spacing w:val="-4"/>
          <w:lang w:val="it-IT"/>
        </w:rPr>
        <w:t>L’argomentazione mediante l’aspetto qualitativo o quantitativo è il primo passo per meglio comprendere le motivazioni e le condizioni che possono portare ad esprimere un giudizio grave con riferimento alla continuità aziendale.</w:t>
      </w:r>
    </w:p>
    <w:p w:rsidR="00024F4F" w:rsidRPr="007D2CA8" w:rsidRDefault="00024F4F" w:rsidP="005B7C49">
      <w:pPr>
        <w:pStyle w:val="ATesto"/>
        <w:widowControl/>
        <w:rPr>
          <w:noProof/>
          <w:spacing w:val="-4"/>
          <w:lang w:val="it-IT"/>
        </w:rPr>
      </w:pPr>
      <w:r w:rsidRPr="007D2CA8">
        <w:rPr>
          <w:noProof/>
          <w:spacing w:val="-4"/>
          <w:lang w:val="it-IT"/>
        </w:rPr>
        <w:t>I dati così ottenuti sono stati comparati nei due periodi temporali al fine di evidenziare l’esistenza o meno di differenze nelle modalità di riportare le informazioni da parte del revisore, come conseguenza del provvedimento Banca d’Italia/Consob/Isvap (2009).</w:t>
      </w:r>
    </w:p>
    <w:p w:rsidR="00024F4F" w:rsidRPr="007D2CA8" w:rsidRDefault="00024F4F" w:rsidP="005B7C49">
      <w:pPr>
        <w:pStyle w:val="ATesto"/>
        <w:widowControl/>
        <w:rPr>
          <w:noProof/>
          <w:spacing w:val="-4"/>
          <w:lang w:val="it-IT"/>
        </w:rPr>
      </w:pPr>
      <w:r w:rsidRPr="007D2CA8">
        <w:rPr>
          <w:noProof/>
          <w:spacing w:val="-4"/>
          <w:lang w:val="it-IT"/>
        </w:rPr>
        <w:t>Nella colonna relativa alla “casistica esemplificativa” della Tabella 1 sono riportate le più ricorrenti fattispecie riscontrate per singolo indicatore.</w:t>
      </w:r>
    </w:p>
    <w:p w:rsidR="00C12B14" w:rsidRPr="007D2CA8" w:rsidRDefault="00C12B14" w:rsidP="005B7C49">
      <w:pPr>
        <w:pStyle w:val="ATesto"/>
        <w:widowControl/>
        <w:rPr>
          <w:noProof/>
          <w:spacing w:val="-4"/>
          <w:lang w:val="it-IT"/>
        </w:rPr>
      </w:pPr>
    </w:p>
    <w:p w:rsidR="00C12B14" w:rsidRPr="007D2CA8" w:rsidRDefault="00C12B14" w:rsidP="00060976">
      <w:pPr>
        <w:pStyle w:val="ATitoloTabella"/>
        <w:spacing w:line="360" w:lineRule="auto"/>
        <w:rPr>
          <w:spacing w:val="-4"/>
        </w:rPr>
      </w:pPr>
      <w:r w:rsidRPr="007D2CA8">
        <w:rPr>
          <w:spacing w:val="-4"/>
        </w:rPr>
        <w:t>Tabella 1: Codifica utilizzata per gli indicatori riportati nel principio di revisione n. 570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tblPr>
      <w:tblGrid>
        <w:gridCol w:w="320"/>
        <w:gridCol w:w="553"/>
        <w:gridCol w:w="2813"/>
        <w:gridCol w:w="2258"/>
        <w:gridCol w:w="2196"/>
      </w:tblGrid>
      <w:tr w:rsidR="00C12B14" w:rsidRPr="007D2CA8" w:rsidTr="005C4253">
        <w:trPr>
          <w:trHeight w:val="357"/>
        </w:trPr>
        <w:tc>
          <w:tcPr>
            <w:tcW w:w="196" w:type="pct"/>
            <w:vAlign w:val="center"/>
          </w:tcPr>
          <w:p w:rsidR="00C12B14" w:rsidRPr="007D2CA8" w:rsidRDefault="00C12B14" w:rsidP="005C4253">
            <w:pPr>
              <w:jc w:val="center"/>
              <w:rPr>
                <w:rFonts w:ascii="Garamond" w:hAnsi="Garamond"/>
                <w:b/>
                <w:bCs/>
                <w:smallCaps/>
                <w:color w:val="000000"/>
                <w:spacing w:val="-4"/>
                <w:sz w:val="16"/>
                <w:szCs w:val="16"/>
              </w:rPr>
            </w:pPr>
            <w:r w:rsidRPr="007D2CA8">
              <w:rPr>
                <w:rFonts w:ascii="Garamond" w:hAnsi="Garamond"/>
                <w:b/>
                <w:bCs/>
                <w:smallCaps/>
                <w:color w:val="000000"/>
                <w:spacing w:val="-4"/>
                <w:sz w:val="16"/>
                <w:szCs w:val="16"/>
              </w:rPr>
              <w:t>N.</w:t>
            </w:r>
          </w:p>
        </w:tc>
        <w:tc>
          <w:tcPr>
            <w:tcW w:w="339" w:type="pct"/>
            <w:noWrap/>
            <w:vAlign w:val="center"/>
          </w:tcPr>
          <w:p w:rsidR="00C12B14" w:rsidRPr="007D2CA8" w:rsidRDefault="00C12B14" w:rsidP="005C4253">
            <w:pPr>
              <w:jc w:val="center"/>
              <w:rPr>
                <w:rFonts w:ascii="Garamond" w:hAnsi="Garamond"/>
                <w:b/>
                <w:bCs/>
                <w:smallCaps/>
                <w:color w:val="000000"/>
                <w:spacing w:val="-4"/>
                <w:sz w:val="16"/>
                <w:szCs w:val="16"/>
              </w:rPr>
            </w:pPr>
            <w:r w:rsidRPr="007D2CA8">
              <w:rPr>
                <w:rFonts w:ascii="Garamond" w:hAnsi="Garamond"/>
                <w:b/>
                <w:bCs/>
                <w:smallCaps/>
                <w:color w:val="000000"/>
                <w:spacing w:val="-4"/>
                <w:sz w:val="16"/>
                <w:szCs w:val="16"/>
              </w:rPr>
              <w:t>Cod.</w:t>
            </w:r>
          </w:p>
        </w:tc>
        <w:tc>
          <w:tcPr>
            <w:tcW w:w="1728" w:type="pct"/>
            <w:vAlign w:val="center"/>
          </w:tcPr>
          <w:p w:rsidR="00C12B14" w:rsidRPr="007D2CA8" w:rsidRDefault="00C12B14" w:rsidP="005C4253">
            <w:pPr>
              <w:jc w:val="center"/>
              <w:rPr>
                <w:rFonts w:ascii="Garamond" w:hAnsi="Garamond"/>
                <w:b/>
                <w:bCs/>
                <w:iCs/>
                <w:smallCaps/>
                <w:color w:val="000000"/>
                <w:spacing w:val="-4"/>
                <w:sz w:val="16"/>
                <w:szCs w:val="16"/>
              </w:rPr>
            </w:pPr>
            <w:r w:rsidRPr="007D2CA8">
              <w:rPr>
                <w:rFonts w:ascii="Garamond" w:hAnsi="Garamond"/>
                <w:b/>
                <w:bCs/>
                <w:iCs/>
                <w:smallCaps/>
                <w:color w:val="000000"/>
                <w:spacing w:val="-4"/>
                <w:sz w:val="16"/>
                <w:szCs w:val="16"/>
              </w:rPr>
              <w:t>Indicatori finanziari</w:t>
            </w:r>
          </w:p>
        </w:tc>
        <w:tc>
          <w:tcPr>
            <w:tcW w:w="1387" w:type="pct"/>
            <w:vAlign w:val="center"/>
          </w:tcPr>
          <w:p w:rsidR="00C12B14" w:rsidRPr="007D2CA8" w:rsidRDefault="00C12B14" w:rsidP="005C4253">
            <w:pPr>
              <w:jc w:val="center"/>
              <w:rPr>
                <w:rFonts w:ascii="Garamond" w:hAnsi="Garamond"/>
                <w:b/>
                <w:bCs/>
                <w:iCs/>
                <w:smallCaps/>
                <w:color w:val="000000"/>
                <w:spacing w:val="-4"/>
                <w:sz w:val="16"/>
                <w:szCs w:val="16"/>
              </w:rPr>
            </w:pPr>
            <w:r w:rsidRPr="007D2CA8">
              <w:rPr>
                <w:rFonts w:ascii="Garamond" w:hAnsi="Garamond"/>
                <w:b/>
                <w:bCs/>
                <w:iCs/>
                <w:smallCaps/>
                <w:color w:val="000000"/>
                <w:spacing w:val="-4"/>
                <w:sz w:val="16"/>
                <w:szCs w:val="16"/>
              </w:rPr>
              <w:t>Esempio di informazione quantitativa</w:t>
            </w:r>
          </w:p>
        </w:tc>
        <w:tc>
          <w:tcPr>
            <w:tcW w:w="1349" w:type="pct"/>
            <w:vAlign w:val="center"/>
          </w:tcPr>
          <w:p w:rsidR="00C12B14" w:rsidRPr="007D2CA8" w:rsidRDefault="00C12B14" w:rsidP="005C4253">
            <w:pPr>
              <w:jc w:val="center"/>
              <w:rPr>
                <w:rFonts w:ascii="Garamond" w:hAnsi="Garamond"/>
                <w:b/>
                <w:bCs/>
                <w:iCs/>
                <w:smallCaps/>
                <w:color w:val="000000"/>
                <w:spacing w:val="-4"/>
                <w:sz w:val="16"/>
                <w:szCs w:val="16"/>
              </w:rPr>
            </w:pPr>
            <w:r w:rsidRPr="007D2CA8">
              <w:rPr>
                <w:rFonts w:ascii="Garamond" w:hAnsi="Garamond"/>
                <w:b/>
                <w:bCs/>
                <w:iCs/>
                <w:smallCaps/>
                <w:color w:val="000000"/>
                <w:spacing w:val="-4"/>
                <w:sz w:val="16"/>
                <w:szCs w:val="16"/>
              </w:rPr>
              <w:t>esempio di informazione qu</w:t>
            </w:r>
            <w:r w:rsidRPr="007D2CA8">
              <w:rPr>
                <w:rFonts w:ascii="Garamond" w:hAnsi="Garamond"/>
                <w:b/>
                <w:bCs/>
                <w:iCs/>
                <w:smallCaps/>
                <w:color w:val="000000"/>
                <w:spacing w:val="-4"/>
                <w:sz w:val="16"/>
                <w:szCs w:val="16"/>
              </w:rPr>
              <w:t>a</w:t>
            </w:r>
            <w:r w:rsidRPr="007D2CA8">
              <w:rPr>
                <w:rFonts w:ascii="Garamond" w:hAnsi="Garamond"/>
                <w:b/>
                <w:bCs/>
                <w:iCs/>
                <w:smallCaps/>
                <w:color w:val="000000"/>
                <w:spacing w:val="-4"/>
                <w:sz w:val="16"/>
                <w:szCs w:val="16"/>
              </w:rPr>
              <w:t>litativa</w:t>
            </w:r>
          </w:p>
        </w:tc>
      </w:tr>
      <w:tr w:rsidR="00C12B14" w:rsidRPr="007D2CA8" w:rsidTr="005C4253">
        <w:trPr>
          <w:trHeight w:val="454"/>
        </w:trPr>
        <w:tc>
          <w:tcPr>
            <w:tcW w:w="196" w:type="pct"/>
            <w:vAlign w:val="center"/>
          </w:tcPr>
          <w:p w:rsidR="00C12B14" w:rsidRPr="007D2CA8" w:rsidRDefault="00C12B14" w:rsidP="005C4253">
            <w:pPr>
              <w:jc w:val="center"/>
              <w:rPr>
                <w:rFonts w:ascii="Garamond" w:hAnsi="Garamond"/>
                <w:color w:val="000000"/>
                <w:spacing w:val="-4"/>
                <w:sz w:val="16"/>
                <w:szCs w:val="16"/>
              </w:rPr>
            </w:pPr>
            <w:r w:rsidRPr="007D2CA8">
              <w:rPr>
                <w:rFonts w:ascii="Garamond" w:hAnsi="Garamond"/>
                <w:color w:val="000000"/>
                <w:spacing w:val="-4"/>
                <w:sz w:val="16"/>
                <w:szCs w:val="16"/>
              </w:rPr>
              <w:t>1</w:t>
            </w:r>
          </w:p>
        </w:tc>
        <w:tc>
          <w:tcPr>
            <w:tcW w:w="339" w:type="pct"/>
            <w:noWrap/>
            <w:vAlign w:val="center"/>
          </w:tcPr>
          <w:p w:rsidR="00C12B14" w:rsidRPr="007D2CA8" w:rsidRDefault="00C12B14" w:rsidP="005C4253">
            <w:pPr>
              <w:jc w:val="center"/>
              <w:rPr>
                <w:rFonts w:ascii="Garamond" w:hAnsi="Garamond"/>
                <w:color w:val="000000"/>
                <w:spacing w:val="-4"/>
                <w:sz w:val="16"/>
                <w:szCs w:val="16"/>
              </w:rPr>
            </w:pPr>
            <w:r w:rsidRPr="007D2CA8">
              <w:rPr>
                <w:rFonts w:ascii="Garamond" w:hAnsi="Garamond"/>
                <w:color w:val="000000"/>
                <w:spacing w:val="-4"/>
                <w:sz w:val="16"/>
                <w:szCs w:val="16"/>
              </w:rPr>
              <w:t>IF.1</w:t>
            </w:r>
          </w:p>
        </w:tc>
        <w:tc>
          <w:tcPr>
            <w:tcW w:w="1728" w:type="pct"/>
            <w:vAlign w:val="center"/>
          </w:tcPr>
          <w:p w:rsidR="00C12B14" w:rsidRPr="007D2CA8" w:rsidRDefault="00C12B14" w:rsidP="005C4253">
            <w:pPr>
              <w:rPr>
                <w:rFonts w:ascii="Garamond" w:hAnsi="Garamond"/>
                <w:color w:val="000000"/>
                <w:spacing w:val="-4"/>
                <w:sz w:val="16"/>
                <w:szCs w:val="16"/>
              </w:rPr>
            </w:pPr>
            <w:r w:rsidRPr="007D2CA8">
              <w:rPr>
                <w:rFonts w:ascii="Garamond" w:hAnsi="Garamond"/>
                <w:color w:val="000000"/>
                <w:spacing w:val="-4"/>
                <w:sz w:val="16"/>
                <w:szCs w:val="16"/>
              </w:rPr>
              <w:t>Situazione di deficit patrimoniale o di capit</w:t>
            </w:r>
            <w:r w:rsidRPr="007D2CA8">
              <w:rPr>
                <w:rFonts w:ascii="Garamond" w:hAnsi="Garamond"/>
                <w:color w:val="000000"/>
                <w:spacing w:val="-4"/>
                <w:sz w:val="16"/>
                <w:szCs w:val="16"/>
              </w:rPr>
              <w:t>a</w:t>
            </w:r>
            <w:r w:rsidRPr="007D2CA8">
              <w:rPr>
                <w:rFonts w:ascii="Garamond" w:hAnsi="Garamond"/>
                <w:color w:val="000000"/>
                <w:spacing w:val="-4"/>
                <w:sz w:val="16"/>
                <w:szCs w:val="16"/>
              </w:rPr>
              <w:t>le circolante netto negativo;</w:t>
            </w:r>
          </w:p>
        </w:tc>
        <w:tc>
          <w:tcPr>
            <w:tcW w:w="1387" w:type="pct"/>
            <w:vAlign w:val="center"/>
          </w:tcPr>
          <w:p w:rsidR="00C12B14" w:rsidRPr="007D2CA8" w:rsidRDefault="00C12B14" w:rsidP="005C4253">
            <w:pPr>
              <w:rPr>
                <w:rFonts w:ascii="Garamond" w:hAnsi="Garamond"/>
                <w:i/>
                <w:iCs/>
                <w:color w:val="000000"/>
                <w:spacing w:val="-4"/>
                <w:sz w:val="16"/>
                <w:szCs w:val="16"/>
              </w:rPr>
            </w:pPr>
            <w:r w:rsidRPr="007D2CA8">
              <w:rPr>
                <w:rFonts w:ascii="Garamond" w:hAnsi="Garamond"/>
                <w:i/>
                <w:iCs/>
                <w:color w:val="000000"/>
                <w:spacing w:val="-4"/>
                <w:sz w:val="16"/>
                <w:szCs w:val="16"/>
              </w:rPr>
              <w:t>Patrimonio netto negativo (indicazione valore)</w:t>
            </w:r>
          </w:p>
        </w:tc>
        <w:tc>
          <w:tcPr>
            <w:tcW w:w="1349" w:type="pct"/>
            <w:vAlign w:val="center"/>
          </w:tcPr>
          <w:p w:rsidR="00C12B14" w:rsidRPr="007D2CA8" w:rsidRDefault="00C12B14" w:rsidP="005C4253">
            <w:pPr>
              <w:rPr>
                <w:rFonts w:ascii="Garamond" w:hAnsi="Garamond"/>
                <w:i/>
                <w:iCs/>
                <w:color w:val="000000"/>
                <w:spacing w:val="-4"/>
                <w:sz w:val="16"/>
                <w:szCs w:val="16"/>
              </w:rPr>
            </w:pPr>
            <w:r w:rsidRPr="007D2CA8">
              <w:rPr>
                <w:rFonts w:ascii="Garamond" w:hAnsi="Garamond"/>
                <w:i/>
                <w:iCs/>
                <w:color w:val="000000"/>
                <w:spacing w:val="-4"/>
                <w:sz w:val="16"/>
                <w:szCs w:val="16"/>
              </w:rPr>
              <w:t>Patrimonio netto negativo (senza indic</w:t>
            </w:r>
            <w:r w:rsidRPr="007D2CA8">
              <w:rPr>
                <w:rFonts w:ascii="Garamond" w:hAnsi="Garamond"/>
                <w:i/>
                <w:iCs/>
                <w:color w:val="000000"/>
                <w:spacing w:val="-4"/>
                <w:sz w:val="16"/>
                <w:szCs w:val="16"/>
              </w:rPr>
              <w:t>a</w:t>
            </w:r>
            <w:r w:rsidRPr="007D2CA8">
              <w:rPr>
                <w:rFonts w:ascii="Garamond" w:hAnsi="Garamond"/>
                <w:i/>
                <w:iCs/>
                <w:color w:val="000000"/>
                <w:spacing w:val="-4"/>
                <w:sz w:val="16"/>
                <w:szCs w:val="16"/>
              </w:rPr>
              <w:t>zione del valore)</w:t>
            </w:r>
          </w:p>
        </w:tc>
      </w:tr>
      <w:tr w:rsidR="00C12B14" w:rsidRPr="007D2CA8" w:rsidTr="005C4253">
        <w:trPr>
          <w:trHeight w:val="454"/>
        </w:trPr>
        <w:tc>
          <w:tcPr>
            <w:tcW w:w="196" w:type="pct"/>
            <w:vAlign w:val="center"/>
          </w:tcPr>
          <w:p w:rsidR="00C12B14" w:rsidRPr="007D2CA8" w:rsidRDefault="00C12B14" w:rsidP="005C4253">
            <w:pPr>
              <w:jc w:val="center"/>
              <w:rPr>
                <w:rFonts w:ascii="Garamond" w:hAnsi="Garamond"/>
                <w:color w:val="000000"/>
                <w:spacing w:val="-4"/>
                <w:sz w:val="16"/>
                <w:szCs w:val="16"/>
              </w:rPr>
            </w:pPr>
            <w:r w:rsidRPr="007D2CA8">
              <w:rPr>
                <w:rFonts w:ascii="Garamond" w:hAnsi="Garamond"/>
                <w:color w:val="000000"/>
                <w:spacing w:val="-4"/>
                <w:sz w:val="16"/>
                <w:szCs w:val="16"/>
              </w:rPr>
              <w:t>2</w:t>
            </w:r>
          </w:p>
        </w:tc>
        <w:tc>
          <w:tcPr>
            <w:tcW w:w="339" w:type="pct"/>
            <w:noWrap/>
            <w:vAlign w:val="center"/>
          </w:tcPr>
          <w:p w:rsidR="00C12B14" w:rsidRPr="007D2CA8" w:rsidRDefault="00C12B14" w:rsidP="005C4253">
            <w:pPr>
              <w:jc w:val="center"/>
              <w:rPr>
                <w:rFonts w:ascii="Garamond" w:hAnsi="Garamond"/>
                <w:color w:val="000000"/>
                <w:spacing w:val="-4"/>
                <w:sz w:val="16"/>
                <w:szCs w:val="16"/>
              </w:rPr>
            </w:pPr>
            <w:r w:rsidRPr="007D2CA8">
              <w:rPr>
                <w:rFonts w:ascii="Garamond" w:hAnsi="Garamond"/>
                <w:color w:val="000000"/>
                <w:spacing w:val="-4"/>
                <w:sz w:val="16"/>
                <w:szCs w:val="16"/>
              </w:rPr>
              <w:t>IF.2</w:t>
            </w:r>
          </w:p>
        </w:tc>
        <w:tc>
          <w:tcPr>
            <w:tcW w:w="1728" w:type="pct"/>
            <w:vAlign w:val="center"/>
          </w:tcPr>
          <w:p w:rsidR="00C12B14" w:rsidRPr="007D2CA8" w:rsidRDefault="00C12B14" w:rsidP="005C4253">
            <w:pPr>
              <w:rPr>
                <w:rFonts w:ascii="Garamond" w:hAnsi="Garamond"/>
                <w:color w:val="000000"/>
                <w:spacing w:val="-4"/>
                <w:sz w:val="16"/>
                <w:szCs w:val="16"/>
              </w:rPr>
            </w:pPr>
            <w:r w:rsidRPr="007D2CA8">
              <w:rPr>
                <w:rFonts w:ascii="Garamond" w:hAnsi="Garamond"/>
                <w:color w:val="000000"/>
                <w:spacing w:val="-4"/>
                <w:sz w:val="16"/>
                <w:szCs w:val="16"/>
              </w:rPr>
              <w:t>Prestiti a scadenza fissa e prossimi alla sc</w:t>
            </w:r>
            <w:r w:rsidRPr="007D2CA8">
              <w:rPr>
                <w:rFonts w:ascii="Garamond" w:hAnsi="Garamond"/>
                <w:color w:val="000000"/>
                <w:spacing w:val="-4"/>
                <w:sz w:val="16"/>
                <w:szCs w:val="16"/>
              </w:rPr>
              <w:t>a</w:t>
            </w:r>
            <w:r w:rsidRPr="007D2CA8">
              <w:rPr>
                <w:rFonts w:ascii="Garamond" w:hAnsi="Garamond"/>
                <w:color w:val="000000"/>
                <w:spacing w:val="-4"/>
                <w:sz w:val="16"/>
                <w:szCs w:val="16"/>
              </w:rPr>
              <w:t>denza senza che vi siano prospettive veros</w:t>
            </w:r>
            <w:r w:rsidRPr="007D2CA8">
              <w:rPr>
                <w:rFonts w:ascii="Garamond" w:hAnsi="Garamond"/>
                <w:color w:val="000000"/>
                <w:spacing w:val="-4"/>
                <w:sz w:val="16"/>
                <w:szCs w:val="16"/>
              </w:rPr>
              <w:t>i</w:t>
            </w:r>
            <w:r w:rsidRPr="007D2CA8">
              <w:rPr>
                <w:rFonts w:ascii="Garamond" w:hAnsi="Garamond"/>
                <w:color w:val="000000"/>
                <w:spacing w:val="-4"/>
                <w:sz w:val="16"/>
                <w:szCs w:val="16"/>
              </w:rPr>
              <w:t>mili di rinnovo o di rimborso; oppure ecce</w:t>
            </w:r>
            <w:r w:rsidRPr="007D2CA8">
              <w:rPr>
                <w:rFonts w:ascii="Garamond" w:hAnsi="Garamond"/>
                <w:color w:val="000000"/>
                <w:spacing w:val="-4"/>
                <w:sz w:val="16"/>
                <w:szCs w:val="16"/>
              </w:rPr>
              <w:t>s</w:t>
            </w:r>
            <w:r w:rsidRPr="007D2CA8">
              <w:rPr>
                <w:rFonts w:ascii="Garamond" w:hAnsi="Garamond"/>
                <w:color w:val="000000"/>
                <w:spacing w:val="-4"/>
                <w:sz w:val="16"/>
                <w:szCs w:val="16"/>
              </w:rPr>
              <w:t>siva dipe</w:t>
            </w:r>
            <w:r w:rsidRPr="007D2CA8">
              <w:rPr>
                <w:rFonts w:ascii="Garamond" w:hAnsi="Garamond"/>
                <w:color w:val="000000"/>
                <w:spacing w:val="-4"/>
                <w:sz w:val="16"/>
                <w:szCs w:val="16"/>
              </w:rPr>
              <w:t>n</w:t>
            </w:r>
            <w:r w:rsidRPr="007D2CA8">
              <w:rPr>
                <w:rFonts w:ascii="Garamond" w:hAnsi="Garamond"/>
                <w:color w:val="000000"/>
                <w:spacing w:val="-4"/>
                <w:sz w:val="16"/>
                <w:szCs w:val="16"/>
              </w:rPr>
              <w:t>denza da prestiti a breve termine per finanziare attività a lungo term</w:t>
            </w:r>
            <w:r w:rsidRPr="007D2CA8">
              <w:rPr>
                <w:rFonts w:ascii="Garamond" w:hAnsi="Garamond"/>
                <w:color w:val="000000"/>
                <w:spacing w:val="-4"/>
                <w:sz w:val="16"/>
                <w:szCs w:val="16"/>
              </w:rPr>
              <w:t>i</w:t>
            </w:r>
            <w:r w:rsidRPr="007D2CA8">
              <w:rPr>
                <w:rFonts w:ascii="Garamond" w:hAnsi="Garamond"/>
                <w:color w:val="000000"/>
                <w:spacing w:val="-4"/>
                <w:sz w:val="16"/>
                <w:szCs w:val="16"/>
              </w:rPr>
              <w:t>ne;</w:t>
            </w:r>
          </w:p>
        </w:tc>
        <w:tc>
          <w:tcPr>
            <w:tcW w:w="1387" w:type="pct"/>
            <w:vAlign w:val="center"/>
          </w:tcPr>
          <w:p w:rsidR="00C12B14" w:rsidRPr="007D2CA8" w:rsidRDefault="00C12B14" w:rsidP="005C4253">
            <w:pPr>
              <w:rPr>
                <w:rFonts w:ascii="Garamond" w:hAnsi="Garamond"/>
                <w:i/>
                <w:iCs/>
                <w:color w:val="000000"/>
                <w:spacing w:val="-4"/>
                <w:sz w:val="16"/>
                <w:szCs w:val="16"/>
              </w:rPr>
            </w:pPr>
            <w:r w:rsidRPr="007D2CA8">
              <w:rPr>
                <w:rFonts w:ascii="Garamond" w:hAnsi="Garamond"/>
                <w:i/>
                <w:iCs/>
                <w:color w:val="000000"/>
                <w:spacing w:val="-4"/>
                <w:sz w:val="16"/>
                <w:szCs w:val="16"/>
              </w:rPr>
              <w:t>Debiti verso banche o prestiti obbligazion</w:t>
            </w:r>
            <w:r w:rsidRPr="007D2CA8">
              <w:rPr>
                <w:rFonts w:ascii="Garamond" w:hAnsi="Garamond"/>
                <w:i/>
                <w:iCs/>
                <w:color w:val="000000"/>
                <w:spacing w:val="-4"/>
                <w:sz w:val="16"/>
                <w:szCs w:val="16"/>
              </w:rPr>
              <w:t>a</w:t>
            </w:r>
            <w:r w:rsidRPr="007D2CA8">
              <w:rPr>
                <w:rFonts w:ascii="Garamond" w:hAnsi="Garamond"/>
                <w:i/>
                <w:iCs/>
                <w:color w:val="000000"/>
                <w:spacing w:val="-4"/>
                <w:sz w:val="16"/>
                <w:szCs w:val="16"/>
              </w:rPr>
              <w:t>ri in scadenza con indicazione valore a scadere</w:t>
            </w:r>
          </w:p>
        </w:tc>
        <w:tc>
          <w:tcPr>
            <w:tcW w:w="1349" w:type="pct"/>
            <w:vAlign w:val="center"/>
          </w:tcPr>
          <w:p w:rsidR="00C12B14" w:rsidRPr="007D2CA8" w:rsidRDefault="00C12B14" w:rsidP="005C4253">
            <w:pPr>
              <w:rPr>
                <w:rFonts w:ascii="Garamond" w:hAnsi="Garamond"/>
                <w:i/>
                <w:iCs/>
                <w:color w:val="000000"/>
                <w:spacing w:val="-4"/>
                <w:sz w:val="16"/>
                <w:szCs w:val="16"/>
              </w:rPr>
            </w:pPr>
            <w:r w:rsidRPr="007D2CA8">
              <w:rPr>
                <w:rFonts w:ascii="Garamond" w:hAnsi="Garamond"/>
                <w:i/>
                <w:iCs/>
                <w:color w:val="000000"/>
                <w:spacing w:val="-4"/>
                <w:sz w:val="16"/>
                <w:szCs w:val="16"/>
              </w:rPr>
              <w:t>Presenza di un indebitamento finanzi</w:t>
            </w:r>
            <w:r w:rsidRPr="007D2CA8">
              <w:rPr>
                <w:rFonts w:ascii="Garamond" w:hAnsi="Garamond"/>
                <w:i/>
                <w:iCs/>
                <w:color w:val="000000"/>
                <w:spacing w:val="-4"/>
                <w:sz w:val="16"/>
                <w:szCs w:val="16"/>
              </w:rPr>
              <w:t>a</w:t>
            </w:r>
            <w:r w:rsidRPr="007D2CA8">
              <w:rPr>
                <w:rFonts w:ascii="Garamond" w:hAnsi="Garamond"/>
                <w:i/>
                <w:iCs/>
                <w:color w:val="000000"/>
                <w:spacing w:val="-4"/>
                <w:sz w:val="16"/>
                <w:szCs w:val="16"/>
              </w:rPr>
              <w:t>rio prevalentemente costituito da linee a breve termine</w:t>
            </w:r>
          </w:p>
        </w:tc>
      </w:tr>
      <w:tr w:rsidR="00C12B14" w:rsidRPr="007D2CA8" w:rsidTr="005C4253">
        <w:trPr>
          <w:trHeight w:val="454"/>
        </w:trPr>
        <w:tc>
          <w:tcPr>
            <w:tcW w:w="196" w:type="pct"/>
            <w:vAlign w:val="center"/>
          </w:tcPr>
          <w:p w:rsidR="00C12B14" w:rsidRPr="007D2CA8" w:rsidRDefault="00C12B14" w:rsidP="005C4253">
            <w:pPr>
              <w:jc w:val="center"/>
              <w:rPr>
                <w:rFonts w:ascii="Garamond" w:hAnsi="Garamond"/>
                <w:color w:val="000000"/>
                <w:spacing w:val="-4"/>
                <w:sz w:val="16"/>
                <w:szCs w:val="16"/>
              </w:rPr>
            </w:pPr>
            <w:r w:rsidRPr="007D2CA8">
              <w:rPr>
                <w:rFonts w:ascii="Garamond" w:hAnsi="Garamond"/>
                <w:color w:val="000000"/>
                <w:spacing w:val="-4"/>
                <w:sz w:val="16"/>
                <w:szCs w:val="16"/>
              </w:rPr>
              <w:t>3</w:t>
            </w:r>
          </w:p>
        </w:tc>
        <w:tc>
          <w:tcPr>
            <w:tcW w:w="339" w:type="pct"/>
            <w:noWrap/>
            <w:vAlign w:val="center"/>
          </w:tcPr>
          <w:p w:rsidR="00C12B14" w:rsidRPr="007D2CA8" w:rsidRDefault="00C12B14" w:rsidP="005C4253">
            <w:pPr>
              <w:jc w:val="center"/>
              <w:rPr>
                <w:rFonts w:ascii="Garamond" w:hAnsi="Garamond"/>
                <w:color w:val="000000"/>
                <w:spacing w:val="-4"/>
                <w:sz w:val="16"/>
                <w:szCs w:val="16"/>
              </w:rPr>
            </w:pPr>
            <w:r w:rsidRPr="007D2CA8">
              <w:rPr>
                <w:rFonts w:ascii="Garamond" w:hAnsi="Garamond"/>
                <w:color w:val="000000"/>
                <w:spacing w:val="-4"/>
                <w:sz w:val="16"/>
                <w:szCs w:val="16"/>
              </w:rPr>
              <w:t>IF.3</w:t>
            </w:r>
          </w:p>
        </w:tc>
        <w:tc>
          <w:tcPr>
            <w:tcW w:w="1728" w:type="pct"/>
            <w:vAlign w:val="center"/>
          </w:tcPr>
          <w:p w:rsidR="00C12B14" w:rsidRPr="007D2CA8" w:rsidRDefault="00C12B14" w:rsidP="005C4253">
            <w:pPr>
              <w:rPr>
                <w:rFonts w:ascii="Garamond" w:hAnsi="Garamond"/>
                <w:color w:val="000000"/>
                <w:spacing w:val="-4"/>
                <w:sz w:val="16"/>
                <w:szCs w:val="16"/>
              </w:rPr>
            </w:pPr>
            <w:r w:rsidRPr="007D2CA8">
              <w:rPr>
                <w:rFonts w:ascii="Garamond" w:hAnsi="Garamond"/>
                <w:color w:val="000000"/>
                <w:spacing w:val="-4"/>
                <w:sz w:val="16"/>
                <w:szCs w:val="16"/>
              </w:rPr>
              <w:t>Indicazioni di cessazione del sostegno fina</w:t>
            </w:r>
            <w:r w:rsidRPr="007D2CA8">
              <w:rPr>
                <w:rFonts w:ascii="Garamond" w:hAnsi="Garamond"/>
                <w:color w:val="000000"/>
                <w:spacing w:val="-4"/>
                <w:sz w:val="16"/>
                <w:szCs w:val="16"/>
              </w:rPr>
              <w:t>n</w:t>
            </w:r>
            <w:r w:rsidRPr="007D2CA8">
              <w:rPr>
                <w:rFonts w:ascii="Garamond" w:hAnsi="Garamond"/>
                <w:color w:val="000000"/>
                <w:spacing w:val="-4"/>
                <w:sz w:val="16"/>
                <w:szCs w:val="16"/>
              </w:rPr>
              <w:t>ziario da parte dei finanziatori e altri creditori;</w:t>
            </w:r>
          </w:p>
        </w:tc>
        <w:tc>
          <w:tcPr>
            <w:tcW w:w="1387" w:type="pct"/>
            <w:vAlign w:val="center"/>
          </w:tcPr>
          <w:p w:rsidR="00C12B14" w:rsidRPr="007D2CA8" w:rsidRDefault="00C12B14" w:rsidP="005C4253">
            <w:pPr>
              <w:rPr>
                <w:rFonts w:ascii="Garamond" w:hAnsi="Garamond"/>
                <w:i/>
                <w:iCs/>
                <w:color w:val="000000"/>
                <w:spacing w:val="-4"/>
                <w:sz w:val="16"/>
                <w:szCs w:val="16"/>
              </w:rPr>
            </w:pPr>
            <w:r w:rsidRPr="007D2CA8">
              <w:rPr>
                <w:rFonts w:ascii="Garamond" w:hAnsi="Garamond"/>
                <w:i/>
                <w:iCs/>
                <w:color w:val="000000"/>
                <w:spacing w:val="-4"/>
                <w:sz w:val="16"/>
                <w:szCs w:val="16"/>
              </w:rPr>
              <w:t>NON RILEVATO</w:t>
            </w:r>
          </w:p>
        </w:tc>
        <w:tc>
          <w:tcPr>
            <w:tcW w:w="1349" w:type="pct"/>
            <w:vAlign w:val="center"/>
          </w:tcPr>
          <w:p w:rsidR="00C12B14" w:rsidRPr="007D2CA8" w:rsidRDefault="00C12B14" w:rsidP="005C4253">
            <w:pPr>
              <w:rPr>
                <w:rFonts w:ascii="Garamond" w:hAnsi="Garamond"/>
                <w:i/>
                <w:iCs/>
                <w:color w:val="000000"/>
                <w:spacing w:val="-4"/>
                <w:sz w:val="16"/>
                <w:szCs w:val="16"/>
              </w:rPr>
            </w:pPr>
            <w:r w:rsidRPr="007D2CA8">
              <w:rPr>
                <w:rFonts w:ascii="Garamond" w:hAnsi="Garamond"/>
                <w:i/>
                <w:iCs/>
                <w:color w:val="000000"/>
                <w:spacing w:val="-4"/>
                <w:sz w:val="16"/>
                <w:szCs w:val="16"/>
              </w:rPr>
              <w:t>Incertezze sul mantenimento di linee di fido bancarie in presenza di segnal</w:t>
            </w:r>
            <w:r w:rsidRPr="007D2CA8">
              <w:rPr>
                <w:rFonts w:ascii="Garamond" w:hAnsi="Garamond"/>
                <w:i/>
                <w:iCs/>
                <w:color w:val="000000"/>
                <w:spacing w:val="-4"/>
                <w:sz w:val="16"/>
                <w:szCs w:val="16"/>
              </w:rPr>
              <w:t>a</w:t>
            </w:r>
            <w:r w:rsidRPr="007D2CA8">
              <w:rPr>
                <w:rFonts w:ascii="Garamond" w:hAnsi="Garamond"/>
                <w:i/>
                <w:iCs/>
                <w:color w:val="000000"/>
                <w:spacing w:val="-4"/>
                <w:sz w:val="16"/>
                <w:szCs w:val="16"/>
              </w:rPr>
              <w:t>zioni di sofferenza in centrale rischi</w:t>
            </w:r>
          </w:p>
        </w:tc>
      </w:tr>
      <w:tr w:rsidR="00C12B14" w:rsidRPr="007D2CA8" w:rsidTr="005C4253">
        <w:trPr>
          <w:trHeight w:val="454"/>
        </w:trPr>
        <w:tc>
          <w:tcPr>
            <w:tcW w:w="196" w:type="pct"/>
            <w:vAlign w:val="center"/>
          </w:tcPr>
          <w:p w:rsidR="00C12B14" w:rsidRPr="007D2CA8" w:rsidRDefault="00C12B14" w:rsidP="005C4253">
            <w:pPr>
              <w:jc w:val="center"/>
              <w:rPr>
                <w:rFonts w:ascii="Garamond" w:hAnsi="Garamond"/>
                <w:color w:val="000000"/>
                <w:spacing w:val="-4"/>
                <w:sz w:val="16"/>
                <w:szCs w:val="16"/>
              </w:rPr>
            </w:pPr>
            <w:r w:rsidRPr="007D2CA8">
              <w:rPr>
                <w:rFonts w:ascii="Garamond" w:hAnsi="Garamond"/>
                <w:color w:val="000000"/>
                <w:spacing w:val="-4"/>
                <w:sz w:val="16"/>
                <w:szCs w:val="16"/>
              </w:rPr>
              <w:t>4</w:t>
            </w:r>
          </w:p>
        </w:tc>
        <w:tc>
          <w:tcPr>
            <w:tcW w:w="339" w:type="pct"/>
            <w:noWrap/>
            <w:vAlign w:val="center"/>
          </w:tcPr>
          <w:p w:rsidR="00C12B14" w:rsidRPr="007D2CA8" w:rsidRDefault="00C12B14" w:rsidP="005C4253">
            <w:pPr>
              <w:jc w:val="center"/>
              <w:rPr>
                <w:rFonts w:ascii="Garamond" w:hAnsi="Garamond"/>
                <w:color w:val="000000"/>
                <w:spacing w:val="-4"/>
                <w:sz w:val="16"/>
                <w:szCs w:val="16"/>
              </w:rPr>
            </w:pPr>
            <w:r w:rsidRPr="007D2CA8">
              <w:rPr>
                <w:rFonts w:ascii="Garamond" w:hAnsi="Garamond"/>
                <w:color w:val="000000"/>
                <w:spacing w:val="-4"/>
                <w:sz w:val="16"/>
                <w:szCs w:val="16"/>
              </w:rPr>
              <w:t>IF.4</w:t>
            </w:r>
          </w:p>
        </w:tc>
        <w:tc>
          <w:tcPr>
            <w:tcW w:w="1728" w:type="pct"/>
            <w:vAlign w:val="center"/>
          </w:tcPr>
          <w:p w:rsidR="00C12B14" w:rsidRPr="007D2CA8" w:rsidRDefault="00C12B14" w:rsidP="005C4253">
            <w:pPr>
              <w:rPr>
                <w:rFonts w:ascii="Garamond" w:hAnsi="Garamond"/>
                <w:color w:val="000000"/>
                <w:spacing w:val="-4"/>
                <w:sz w:val="16"/>
                <w:szCs w:val="16"/>
              </w:rPr>
            </w:pPr>
            <w:r w:rsidRPr="007D2CA8">
              <w:rPr>
                <w:rFonts w:ascii="Garamond" w:hAnsi="Garamond"/>
                <w:color w:val="000000"/>
                <w:spacing w:val="-4"/>
                <w:sz w:val="16"/>
                <w:szCs w:val="16"/>
              </w:rPr>
              <w:t>Bilanci storici o prospettici che mostrano cash flow negativi;</w:t>
            </w:r>
          </w:p>
        </w:tc>
        <w:tc>
          <w:tcPr>
            <w:tcW w:w="1387" w:type="pct"/>
            <w:vAlign w:val="center"/>
          </w:tcPr>
          <w:p w:rsidR="00C12B14" w:rsidRPr="007D2CA8" w:rsidRDefault="00C12B14" w:rsidP="005C4253">
            <w:pPr>
              <w:rPr>
                <w:rFonts w:ascii="Garamond" w:hAnsi="Garamond"/>
                <w:i/>
                <w:iCs/>
                <w:color w:val="000000"/>
                <w:spacing w:val="-4"/>
                <w:sz w:val="16"/>
                <w:szCs w:val="16"/>
              </w:rPr>
            </w:pPr>
            <w:r w:rsidRPr="007D2CA8">
              <w:rPr>
                <w:rFonts w:ascii="Garamond" w:hAnsi="Garamond"/>
                <w:i/>
                <w:iCs/>
                <w:color w:val="000000"/>
                <w:spacing w:val="-4"/>
                <w:sz w:val="16"/>
                <w:szCs w:val="16"/>
              </w:rPr>
              <w:t>Eccessivi assorbimenti di cassa (indic</w:t>
            </w:r>
            <w:r w:rsidRPr="007D2CA8">
              <w:rPr>
                <w:rFonts w:ascii="Garamond" w:hAnsi="Garamond"/>
                <w:i/>
                <w:iCs/>
                <w:color w:val="000000"/>
                <w:spacing w:val="-4"/>
                <w:sz w:val="16"/>
                <w:szCs w:val="16"/>
              </w:rPr>
              <w:t>a</w:t>
            </w:r>
            <w:r w:rsidRPr="007D2CA8">
              <w:rPr>
                <w:rFonts w:ascii="Garamond" w:hAnsi="Garamond"/>
                <w:i/>
                <w:iCs/>
                <w:color w:val="000000"/>
                <w:spacing w:val="-4"/>
                <w:sz w:val="16"/>
                <w:szCs w:val="16"/>
              </w:rPr>
              <w:t>zione valore)</w:t>
            </w:r>
          </w:p>
        </w:tc>
        <w:tc>
          <w:tcPr>
            <w:tcW w:w="1349" w:type="pct"/>
            <w:vAlign w:val="center"/>
          </w:tcPr>
          <w:p w:rsidR="00C12B14" w:rsidRPr="007D2CA8" w:rsidRDefault="00C12B14" w:rsidP="005C4253">
            <w:pPr>
              <w:rPr>
                <w:rFonts w:ascii="Garamond" w:hAnsi="Garamond"/>
                <w:i/>
                <w:iCs/>
                <w:color w:val="000000"/>
                <w:spacing w:val="-4"/>
                <w:sz w:val="16"/>
                <w:szCs w:val="16"/>
              </w:rPr>
            </w:pPr>
            <w:r w:rsidRPr="007D2CA8">
              <w:rPr>
                <w:rFonts w:ascii="Garamond" w:hAnsi="Garamond"/>
                <w:i/>
                <w:iCs/>
                <w:color w:val="000000"/>
                <w:spacing w:val="-4"/>
                <w:sz w:val="16"/>
                <w:szCs w:val="16"/>
              </w:rPr>
              <w:t>Eccessivi assorbimenti di cassa (senza indicazione del valore)</w:t>
            </w:r>
          </w:p>
        </w:tc>
      </w:tr>
      <w:tr w:rsidR="00C12B14" w:rsidRPr="007D2CA8" w:rsidTr="005C4253">
        <w:trPr>
          <w:trHeight w:val="454"/>
        </w:trPr>
        <w:tc>
          <w:tcPr>
            <w:tcW w:w="196" w:type="pct"/>
            <w:vAlign w:val="center"/>
          </w:tcPr>
          <w:p w:rsidR="00C12B14" w:rsidRPr="007D2CA8" w:rsidRDefault="00C12B14" w:rsidP="005C4253">
            <w:pPr>
              <w:jc w:val="center"/>
              <w:rPr>
                <w:rFonts w:ascii="Garamond" w:hAnsi="Garamond"/>
                <w:color w:val="000000"/>
                <w:spacing w:val="-4"/>
                <w:sz w:val="16"/>
                <w:szCs w:val="16"/>
              </w:rPr>
            </w:pPr>
            <w:r w:rsidRPr="007D2CA8">
              <w:rPr>
                <w:rFonts w:ascii="Garamond" w:hAnsi="Garamond"/>
                <w:color w:val="000000"/>
                <w:spacing w:val="-4"/>
                <w:sz w:val="16"/>
                <w:szCs w:val="16"/>
              </w:rPr>
              <w:t>5</w:t>
            </w:r>
          </w:p>
        </w:tc>
        <w:tc>
          <w:tcPr>
            <w:tcW w:w="339" w:type="pct"/>
            <w:noWrap/>
            <w:vAlign w:val="center"/>
          </w:tcPr>
          <w:p w:rsidR="00C12B14" w:rsidRPr="007D2CA8" w:rsidRDefault="00C12B14" w:rsidP="005C4253">
            <w:pPr>
              <w:jc w:val="center"/>
              <w:rPr>
                <w:rFonts w:ascii="Garamond" w:hAnsi="Garamond"/>
                <w:color w:val="000000"/>
                <w:spacing w:val="-4"/>
                <w:sz w:val="16"/>
                <w:szCs w:val="16"/>
              </w:rPr>
            </w:pPr>
            <w:r w:rsidRPr="007D2CA8">
              <w:rPr>
                <w:rFonts w:ascii="Garamond" w:hAnsi="Garamond"/>
                <w:color w:val="000000"/>
                <w:spacing w:val="-4"/>
                <w:sz w:val="16"/>
                <w:szCs w:val="16"/>
              </w:rPr>
              <w:t>IF.5</w:t>
            </w:r>
          </w:p>
        </w:tc>
        <w:tc>
          <w:tcPr>
            <w:tcW w:w="1728" w:type="pct"/>
            <w:vAlign w:val="center"/>
          </w:tcPr>
          <w:p w:rsidR="00C12B14" w:rsidRPr="007D2CA8" w:rsidRDefault="00C12B14" w:rsidP="005C4253">
            <w:pPr>
              <w:rPr>
                <w:rFonts w:ascii="Garamond" w:hAnsi="Garamond"/>
                <w:color w:val="000000"/>
                <w:spacing w:val="-4"/>
                <w:sz w:val="16"/>
                <w:szCs w:val="16"/>
              </w:rPr>
            </w:pPr>
            <w:r w:rsidRPr="007D2CA8">
              <w:rPr>
                <w:rFonts w:ascii="Garamond" w:hAnsi="Garamond"/>
                <w:color w:val="000000"/>
                <w:spacing w:val="-4"/>
                <w:sz w:val="16"/>
                <w:szCs w:val="16"/>
              </w:rPr>
              <w:t>Principali indici economico-finanziari negat</w:t>
            </w:r>
            <w:r w:rsidRPr="007D2CA8">
              <w:rPr>
                <w:rFonts w:ascii="Garamond" w:hAnsi="Garamond"/>
                <w:color w:val="000000"/>
                <w:spacing w:val="-4"/>
                <w:sz w:val="16"/>
                <w:szCs w:val="16"/>
              </w:rPr>
              <w:t>i</w:t>
            </w:r>
            <w:r w:rsidRPr="007D2CA8">
              <w:rPr>
                <w:rFonts w:ascii="Garamond" w:hAnsi="Garamond"/>
                <w:color w:val="000000"/>
                <w:spacing w:val="-4"/>
                <w:sz w:val="16"/>
                <w:szCs w:val="16"/>
              </w:rPr>
              <w:t>vi;</w:t>
            </w:r>
          </w:p>
        </w:tc>
        <w:tc>
          <w:tcPr>
            <w:tcW w:w="1387" w:type="pct"/>
            <w:vAlign w:val="center"/>
          </w:tcPr>
          <w:p w:rsidR="00C12B14" w:rsidRPr="007D2CA8" w:rsidRDefault="00C12B14" w:rsidP="005C4253">
            <w:pPr>
              <w:rPr>
                <w:rFonts w:ascii="Garamond" w:hAnsi="Garamond"/>
                <w:i/>
                <w:iCs/>
                <w:color w:val="000000"/>
                <w:spacing w:val="-4"/>
                <w:sz w:val="16"/>
                <w:szCs w:val="16"/>
              </w:rPr>
            </w:pPr>
            <w:r w:rsidRPr="007D2CA8">
              <w:rPr>
                <w:rFonts w:ascii="Garamond" w:hAnsi="Garamond"/>
                <w:i/>
                <w:iCs/>
                <w:color w:val="000000"/>
                <w:spacing w:val="-4"/>
                <w:sz w:val="16"/>
                <w:szCs w:val="16"/>
              </w:rPr>
              <w:t>PFN negativa (indicazione valore)</w:t>
            </w:r>
          </w:p>
        </w:tc>
        <w:tc>
          <w:tcPr>
            <w:tcW w:w="1349" w:type="pct"/>
            <w:vAlign w:val="center"/>
          </w:tcPr>
          <w:p w:rsidR="00C12B14" w:rsidRPr="007D2CA8" w:rsidRDefault="00C12B14" w:rsidP="005C4253">
            <w:pPr>
              <w:rPr>
                <w:rFonts w:ascii="Garamond" w:hAnsi="Garamond"/>
                <w:i/>
                <w:iCs/>
                <w:color w:val="000000"/>
                <w:spacing w:val="-4"/>
                <w:sz w:val="16"/>
                <w:szCs w:val="16"/>
              </w:rPr>
            </w:pPr>
            <w:r w:rsidRPr="007D2CA8">
              <w:rPr>
                <w:rFonts w:ascii="Garamond" w:hAnsi="Garamond"/>
                <w:i/>
                <w:iCs/>
                <w:color w:val="000000"/>
                <w:spacing w:val="-4"/>
                <w:sz w:val="16"/>
                <w:szCs w:val="16"/>
              </w:rPr>
              <w:t>PFN negativa (senza indicazione del valore)</w:t>
            </w:r>
          </w:p>
        </w:tc>
      </w:tr>
      <w:tr w:rsidR="00C12B14" w:rsidRPr="007D2CA8" w:rsidTr="005C4253">
        <w:trPr>
          <w:trHeight w:val="454"/>
        </w:trPr>
        <w:tc>
          <w:tcPr>
            <w:tcW w:w="196" w:type="pct"/>
            <w:vAlign w:val="center"/>
          </w:tcPr>
          <w:p w:rsidR="00C12B14" w:rsidRPr="007D2CA8" w:rsidRDefault="00C12B14" w:rsidP="005C4253">
            <w:pPr>
              <w:jc w:val="center"/>
              <w:rPr>
                <w:rFonts w:ascii="Garamond" w:hAnsi="Garamond"/>
                <w:color w:val="000000"/>
                <w:spacing w:val="-4"/>
                <w:sz w:val="16"/>
                <w:szCs w:val="16"/>
              </w:rPr>
            </w:pPr>
            <w:r w:rsidRPr="007D2CA8">
              <w:rPr>
                <w:rFonts w:ascii="Garamond" w:hAnsi="Garamond"/>
                <w:color w:val="000000"/>
                <w:spacing w:val="-4"/>
                <w:sz w:val="16"/>
                <w:szCs w:val="16"/>
              </w:rPr>
              <w:lastRenderedPageBreak/>
              <w:t>6</w:t>
            </w:r>
          </w:p>
        </w:tc>
        <w:tc>
          <w:tcPr>
            <w:tcW w:w="339" w:type="pct"/>
            <w:noWrap/>
            <w:vAlign w:val="center"/>
          </w:tcPr>
          <w:p w:rsidR="00C12B14" w:rsidRPr="007D2CA8" w:rsidRDefault="00C12B14" w:rsidP="005C4253">
            <w:pPr>
              <w:jc w:val="center"/>
              <w:rPr>
                <w:rFonts w:ascii="Garamond" w:hAnsi="Garamond"/>
                <w:color w:val="000000"/>
                <w:spacing w:val="-4"/>
                <w:sz w:val="16"/>
                <w:szCs w:val="16"/>
              </w:rPr>
            </w:pPr>
            <w:r w:rsidRPr="007D2CA8">
              <w:rPr>
                <w:rFonts w:ascii="Garamond" w:hAnsi="Garamond"/>
                <w:color w:val="000000"/>
                <w:spacing w:val="-4"/>
                <w:sz w:val="16"/>
                <w:szCs w:val="16"/>
              </w:rPr>
              <w:t>IF.6</w:t>
            </w:r>
          </w:p>
        </w:tc>
        <w:tc>
          <w:tcPr>
            <w:tcW w:w="1728" w:type="pct"/>
            <w:vAlign w:val="center"/>
          </w:tcPr>
          <w:p w:rsidR="00C12B14" w:rsidRPr="007D2CA8" w:rsidRDefault="00C12B14" w:rsidP="005C4253">
            <w:pPr>
              <w:rPr>
                <w:rFonts w:ascii="Garamond" w:hAnsi="Garamond"/>
                <w:color w:val="000000"/>
                <w:spacing w:val="-4"/>
                <w:sz w:val="16"/>
                <w:szCs w:val="16"/>
              </w:rPr>
            </w:pPr>
            <w:r w:rsidRPr="007D2CA8">
              <w:rPr>
                <w:rFonts w:ascii="Garamond" w:hAnsi="Garamond"/>
                <w:color w:val="000000"/>
                <w:spacing w:val="-4"/>
                <w:sz w:val="16"/>
                <w:szCs w:val="16"/>
              </w:rPr>
              <w:t>Consistenti perdite operative o significative perdite di valore delle attività che generano cash flow;</w:t>
            </w:r>
          </w:p>
        </w:tc>
        <w:tc>
          <w:tcPr>
            <w:tcW w:w="1387" w:type="pct"/>
            <w:vAlign w:val="center"/>
          </w:tcPr>
          <w:p w:rsidR="00C12B14" w:rsidRPr="007D2CA8" w:rsidRDefault="00C12B14" w:rsidP="005C4253">
            <w:pPr>
              <w:rPr>
                <w:rFonts w:ascii="Garamond" w:hAnsi="Garamond"/>
                <w:i/>
                <w:iCs/>
                <w:color w:val="000000"/>
                <w:spacing w:val="-4"/>
                <w:sz w:val="16"/>
                <w:szCs w:val="16"/>
              </w:rPr>
            </w:pPr>
            <w:r w:rsidRPr="007D2CA8">
              <w:rPr>
                <w:rFonts w:ascii="Garamond" w:hAnsi="Garamond"/>
                <w:i/>
                <w:iCs/>
                <w:color w:val="000000"/>
                <w:spacing w:val="-4"/>
                <w:sz w:val="16"/>
                <w:szCs w:val="16"/>
              </w:rPr>
              <w:t>Risultati di esercizio negativo attuale e/o di anni precedenti (indicazione valore)</w:t>
            </w:r>
          </w:p>
        </w:tc>
        <w:tc>
          <w:tcPr>
            <w:tcW w:w="1349" w:type="pct"/>
            <w:vAlign w:val="center"/>
          </w:tcPr>
          <w:p w:rsidR="00C12B14" w:rsidRPr="007D2CA8" w:rsidRDefault="00C12B14" w:rsidP="005C4253">
            <w:pPr>
              <w:rPr>
                <w:rFonts w:ascii="Garamond" w:hAnsi="Garamond"/>
                <w:i/>
                <w:iCs/>
                <w:color w:val="000000"/>
                <w:spacing w:val="-4"/>
                <w:sz w:val="16"/>
                <w:szCs w:val="16"/>
              </w:rPr>
            </w:pPr>
            <w:r w:rsidRPr="007D2CA8">
              <w:rPr>
                <w:rFonts w:ascii="Garamond" w:hAnsi="Garamond"/>
                <w:i/>
                <w:iCs/>
                <w:color w:val="000000"/>
                <w:spacing w:val="-4"/>
                <w:sz w:val="16"/>
                <w:szCs w:val="16"/>
              </w:rPr>
              <w:t>Risultati di esercizio negativo attuale e/o di anni precedenti (senza indicazi</w:t>
            </w:r>
            <w:r w:rsidRPr="007D2CA8">
              <w:rPr>
                <w:rFonts w:ascii="Garamond" w:hAnsi="Garamond"/>
                <w:i/>
                <w:iCs/>
                <w:color w:val="000000"/>
                <w:spacing w:val="-4"/>
                <w:sz w:val="16"/>
                <w:szCs w:val="16"/>
              </w:rPr>
              <w:t>o</w:t>
            </w:r>
            <w:r w:rsidRPr="007D2CA8">
              <w:rPr>
                <w:rFonts w:ascii="Garamond" w:hAnsi="Garamond"/>
                <w:i/>
                <w:iCs/>
                <w:color w:val="000000"/>
                <w:spacing w:val="-4"/>
                <w:sz w:val="16"/>
                <w:szCs w:val="16"/>
              </w:rPr>
              <w:t>ne del valore)</w:t>
            </w:r>
          </w:p>
        </w:tc>
      </w:tr>
      <w:tr w:rsidR="00C12B14" w:rsidRPr="007D2CA8" w:rsidTr="005C4253">
        <w:trPr>
          <w:trHeight w:val="454"/>
        </w:trPr>
        <w:tc>
          <w:tcPr>
            <w:tcW w:w="196" w:type="pct"/>
            <w:vAlign w:val="center"/>
          </w:tcPr>
          <w:p w:rsidR="00C12B14" w:rsidRPr="007D2CA8" w:rsidRDefault="00C12B14" w:rsidP="005C4253">
            <w:pPr>
              <w:jc w:val="center"/>
              <w:rPr>
                <w:rFonts w:ascii="Garamond" w:hAnsi="Garamond"/>
                <w:color w:val="000000"/>
                <w:spacing w:val="-4"/>
                <w:sz w:val="16"/>
                <w:szCs w:val="16"/>
              </w:rPr>
            </w:pPr>
            <w:r w:rsidRPr="007D2CA8">
              <w:rPr>
                <w:rFonts w:ascii="Garamond" w:hAnsi="Garamond"/>
                <w:color w:val="000000"/>
                <w:spacing w:val="-4"/>
                <w:sz w:val="16"/>
                <w:szCs w:val="16"/>
              </w:rPr>
              <w:t>7</w:t>
            </w:r>
          </w:p>
        </w:tc>
        <w:tc>
          <w:tcPr>
            <w:tcW w:w="339" w:type="pct"/>
            <w:noWrap/>
            <w:vAlign w:val="center"/>
          </w:tcPr>
          <w:p w:rsidR="00C12B14" w:rsidRPr="007D2CA8" w:rsidRDefault="00C12B14" w:rsidP="005C4253">
            <w:pPr>
              <w:jc w:val="center"/>
              <w:rPr>
                <w:rFonts w:ascii="Garamond" w:hAnsi="Garamond"/>
                <w:color w:val="000000"/>
                <w:spacing w:val="-4"/>
                <w:sz w:val="16"/>
                <w:szCs w:val="16"/>
              </w:rPr>
            </w:pPr>
            <w:r w:rsidRPr="007D2CA8">
              <w:rPr>
                <w:rFonts w:ascii="Garamond" w:hAnsi="Garamond"/>
                <w:color w:val="000000"/>
                <w:spacing w:val="-4"/>
                <w:sz w:val="16"/>
                <w:szCs w:val="16"/>
              </w:rPr>
              <w:t>IF.7</w:t>
            </w:r>
          </w:p>
        </w:tc>
        <w:tc>
          <w:tcPr>
            <w:tcW w:w="1728" w:type="pct"/>
            <w:vAlign w:val="center"/>
          </w:tcPr>
          <w:p w:rsidR="00C12B14" w:rsidRPr="007D2CA8" w:rsidRDefault="00C12B14" w:rsidP="005C4253">
            <w:pPr>
              <w:rPr>
                <w:rFonts w:ascii="Garamond" w:hAnsi="Garamond"/>
                <w:color w:val="000000"/>
                <w:spacing w:val="-4"/>
                <w:sz w:val="16"/>
                <w:szCs w:val="16"/>
              </w:rPr>
            </w:pPr>
            <w:r w:rsidRPr="007D2CA8">
              <w:rPr>
                <w:rFonts w:ascii="Garamond" w:hAnsi="Garamond"/>
                <w:color w:val="000000"/>
                <w:spacing w:val="-4"/>
                <w:sz w:val="16"/>
                <w:szCs w:val="16"/>
              </w:rPr>
              <w:t>Mancanza o discontinuità nella distrib</w:t>
            </w:r>
            <w:r w:rsidRPr="007D2CA8">
              <w:rPr>
                <w:rFonts w:ascii="Garamond" w:hAnsi="Garamond"/>
                <w:color w:val="000000"/>
                <w:spacing w:val="-4"/>
                <w:sz w:val="16"/>
                <w:szCs w:val="16"/>
              </w:rPr>
              <w:t>u</w:t>
            </w:r>
            <w:r w:rsidRPr="007D2CA8">
              <w:rPr>
                <w:rFonts w:ascii="Garamond" w:hAnsi="Garamond"/>
                <w:color w:val="000000"/>
                <w:spacing w:val="-4"/>
                <w:sz w:val="16"/>
                <w:szCs w:val="16"/>
              </w:rPr>
              <w:t>zione dei dividendi;</w:t>
            </w:r>
          </w:p>
        </w:tc>
        <w:tc>
          <w:tcPr>
            <w:tcW w:w="1387" w:type="pct"/>
            <w:vAlign w:val="center"/>
          </w:tcPr>
          <w:p w:rsidR="00C12B14" w:rsidRPr="007D2CA8" w:rsidRDefault="00C12B14" w:rsidP="005C4253">
            <w:pPr>
              <w:rPr>
                <w:rFonts w:ascii="Garamond" w:hAnsi="Garamond"/>
                <w:i/>
                <w:iCs/>
                <w:color w:val="000000"/>
                <w:spacing w:val="-4"/>
                <w:sz w:val="16"/>
                <w:szCs w:val="16"/>
              </w:rPr>
            </w:pPr>
            <w:r w:rsidRPr="007D2CA8">
              <w:rPr>
                <w:rFonts w:ascii="Garamond" w:hAnsi="Garamond"/>
                <w:i/>
                <w:iCs/>
                <w:color w:val="000000"/>
                <w:spacing w:val="-4"/>
                <w:sz w:val="16"/>
                <w:szCs w:val="16"/>
              </w:rPr>
              <w:t xml:space="preserve">NON RILEVATO </w:t>
            </w:r>
          </w:p>
        </w:tc>
        <w:tc>
          <w:tcPr>
            <w:tcW w:w="1349" w:type="pct"/>
            <w:vAlign w:val="center"/>
          </w:tcPr>
          <w:p w:rsidR="00C12B14" w:rsidRPr="007D2CA8" w:rsidRDefault="00C12B14" w:rsidP="005C4253">
            <w:pPr>
              <w:rPr>
                <w:rFonts w:ascii="Garamond" w:hAnsi="Garamond"/>
                <w:i/>
                <w:iCs/>
                <w:color w:val="000000"/>
                <w:spacing w:val="-4"/>
                <w:sz w:val="16"/>
                <w:szCs w:val="16"/>
              </w:rPr>
            </w:pPr>
            <w:r w:rsidRPr="007D2CA8">
              <w:rPr>
                <w:rFonts w:ascii="Garamond" w:hAnsi="Garamond"/>
                <w:i/>
                <w:iCs/>
                <w:color w:val="000000"/>
                <w:spacing w:val="-4"/>
                <w:sz w:val="16"/>
                <w:szCs w:val="16"/>
              </w:rPr>
              <w:t xml:space="preserve">NON RILEVATO </w:t>
            </w:r>
          </w:p>
        </w:tc>
      </w:tr>
      <w:tr w:rsidR="00C12B14" w:rsidRPr="007D2CA8" w:rsidTr="005C4253">
        <w:trPr>
          <w:trHeight w:val="454"/>
        </w:trPr>
        <w:tc>
          <w:tcPr>
            <w:tcW w:w="196" w:type="pct"/>
            <w:vAlign w:val="center"/>
          </w:tcPr>
          <w:p w:rsidR="00C12B14" w:rsidRPr="007D2CA8" w:rsidRDefault="00C12B14" w:rsidP="005C4253">
            <w:pPr>
              <w:jc w:val="center"/>
              <w:rPr>
                <w:rFonts w:ascii="Garamond" w:hAnsi="Garamond"/>
                <w:color w:val="000000"/>
                <w:spacing w:val="-4"/>
                <w:sz w:val="16"/>
                <w:szCs w:val="16"/>
              </w:rPr>
            </w:pPr>
            <w:r w:rsidRPr="007D2CA8">
              <w:rPr>
                <w:rFonts w:ascii="Garamond" w:hAnsi="Garamond"/>
                <w:color w:val="000000"/>
                <w:spacing w:val="-4"/>
                <w:sz w:val="16"/>
                <w:szCs w:val="16"/>
              </w:rPr>
              <w:t>8</w:t>
            </w:r>
          </w:p>
        </w:tc>
        <w:tc>
          <w:tcPr>
            <w:tcW w:w="339" w:type="pct"/>
            <w:noWrap/>
            <w:vAlign w:val="center"/>
          </w:tcPr>
          <w:p w:rsidR="00C12B14" w:rsidRPr="007D2CA8" w:rsidRDefault="00C12B14" w:rsidP="005C4253">
            <w:pPr>
              <w:jc w:val="center"/>
              <w:rPr>
                <w:rFonts w:ascii="Garamond" w:hAnsi="Garamond"/>
                <w:color w:val="000000"/>
                <w:spacing w:val="-4"/>
                <w:sz w:val="16"/>
                <w:szCs w:val="16"/>
              </w:rPr>
            </w:pPr>
            <w:r w:rsidRPr="007D2CA8">
              <w:rPr>
                <w:rFonts w:ascii="Garamond" w:hAnsi="Garamond"/>
                <w:color w:val="000000"/>
                <w:spacing w:val="-4"/>
                <w:sz w:val="16"/>
                <w:szCs w:val="16"/>
              </w:rPr>
              <w:t>IF.8</w:t>
            </w:r>
          </w:p>
        </w:tc>
        <w:tc>
          <w:tcPr>
            <w:tcW w:w="1728" w:type="pct"/>
            <w:vAlign w:val="center"/>
          </w:tcPr>
          <w:p w:rsidR="00C12B14" w:rsidRPr="007D2CA8" w:rsidRDefault="00C12B14" w:rsidP="005C4253">
            <w:pPr>
              <w:rPr>
                <w:rFonts w:ascii="Garamond" w:hAnsi="Garamond"/>
                <w:color w:val="000000"/>
                <w:spacing w:val="-4"/>
                <w:sz w:val="16"/>
                <w:szCs w:val="16"/>
              </w:rPr>
            </w:pPr>
            <w:r w:rsidRPr="007D2CA8">
              <w:rPr>
                <w:rFonts w:ascii="Garamond" w:hAnsi="Garamond"/>
                <w:color w:val="000000"/>
                <w:spacing w:val="-4"/>
                <w:sz w:val="16"/>
                <w:szCs w:val="16"/>
              </w:rPr>
              <w:t>Incapacità di saldare i debiti alla scadenza;</w:t>
            </w:r>
          </w:p>
        </w:tc>
        <w:tc>
          <w:tcPr>
            <w:tcW w:w="1387" w:type="pct"/>
            <w:vAlign w:val="center"/>
          </w:tcPr>
          <w:p w:rsidR="00C12B14" w:rsidRPr="007D2CA8" w:rsidRDefault="00C12B14" w:rsidP="005C4253">
            <w:pPr>
              <w:rPr>
                <w:rFonts w:ascii="Garamond" w:hAnsi="Garamond"/>
                <w:i/>
                <w:iCs/>
                <w:color w:val="000000"/>
                <w:spacing w:val="-4"/>
                <w:sz w:val="16"/>
                <w:szCs w:val="16"/>
              </w:rPr>
            </w:pPr>
            <w:r w:rsidRPr="007D2CA8">
              <w:rPr>
                <w:rFonts w:ascii="Garamond" w:hAnsi="Garamond"/>
                <w:i/>
                <w:iCs/>
                <w:color w:val="000000"/>
                <w:spacing w:val="-4"/>
                <w:sz w:val="16"/>
                <w:szCs w:val="16"/>
              </w:rPr>
              <w:t>Debiti commerciali, tributari e/o  verso banche scaduti (indicazione valore)</w:t>
            </w:r>
          </w:p>
        </w:tc>
        <w:tc>
          <w:tcPr>
            <w:tcW w:w="1349" w:type="pct"/>
            <w:vAlign w:val="center"/>
          </w:tcPr>
          <w:p w:rsidR="00C12B14" w:rsidRPr="007D2CA8" w:rsidRDefault="00C12B14" w:rsidP="005C4253">
            <w:pPr>
              <w:rPr>
                <w:rFonts w:ascii="Garamond" w:hAnsi="Garamond"/>
                <w:i/>
                <w:iCs/>
                <w:color w:val="000000"/>
                <w:spacing w:val="-4"/>
                <w:sz w:val="16"/>
                <w:szCs w:val="16"/>
              </w:rPr>
            </w:pPr>
            <w:r w:rsidRPr="007D2CA8">
              <w:rPr>
                <w:rFonts w:ascii="Garamond" w:hAnsi="Garamond"/>
                <w:i/>
                <w:iCs/>
                <w:color w:val="000000"/>
                <w:spacing w:val="-4"/>
                <w:sz w:val="16"/>
                <w:szCs w:val="16"/>
              </w:rPr>
              <w:t>Debiti commerciali, tributari e/o verso banche scaduti (senza indicazione del valore)</w:t>
            </w:r>
          </w:p>
        </w:tc>
      </w:tr>
      <w:tr w:rsidR="00C12B14" w:rsidRPr="007D2CA8" w:rsidTr="005C4253">
        <w:trPr>
          <w:trHeight w:val="454"/>
        </w:trPr>
        <w:tc>
          <w:tcPr>
            <w:tcW w:w="196" w:type="pct"/>
            <w:vAlign w:val="center"/>
          </w:tcPr>
          <w:p w:rsidR="00C12B14" w:rsidRPr="007D2CA8" w:rsidRDefault="00C12B14" w:rsidP="005C4253">
            <w:pPr>
              <w:jc w:val="center"/>
              <w:rPr>
                <w:rFonts w:ascii="Garamond" w:hAnsi="Garamond"/>
                <w:color w:val="000000"/>
                <w:spacing w:val="-4"/>
                <w:sz w:val="16"/>
                <w:szCs w:val="16"/>
              </w:rPr>
            </w:pPr>
            <w:r w:rsidRPr="007D2CA8">
              <w:rPr>
                <w:rFonts w:ascii="Garamond" w:hAnsi="Garamond"/>
                <w:color w:val="000000"/>
                <w:spacing w:val="-4"/>
                <w:sz w:val="16"/>
                <w:szCs w:val="16"/>
              </w:rPr>
              <w:t>9</w:t>
            </w:r>
          </w:p>
        </w:tc>
        <w:tc>
          <w:tcPr>
            <w:tcW w:w="339" w:type="pct"/>
            <w:noWrap/>
            <w:vAlign w:val="center"/>
          </w:tcPr>
          <w:p w:rsidR="00C12B14" w:rsidRPr="007D2CA8" w:rsidRDefault="00C12B14" w:rsidP="005C4253">
            <w:pPr>
              <w:jc w:val="center"/>
              <w:rPr>
                <w:rFonts w:ascii="Garamond" w:hAnsi="Garamond"/>
                <w:color w:val="000000"/>
                <w:spacing w:val="-4"/>
                <w:sz w:val="16"/>
                <w:szCs w:val="16"/>
              </w:rPr>
            </w:pPr>
            <w:r w:rsidRPr="007D2CA8">
              <w:rPr>
                <w:rFonts w:ascii="Garamond" w:hAnsi="Garamond"/>
                <w:color w:val="000000"/>
                <w:spacing w:val="-4"/>
                <w:sz w:val="16"/>
                <w:szCs w:val="16"/>
              </w:rPr>
              <w:t>IF.9</w:t>
            </w:r>
          </w:p>
        </w:tc>
        <w:tc>
          <w:tcPr>
            <w:tcW w:w="1728" w:type="pct"/>
            <w:vAlign w:val="center"/>
          </w:tcPr>
          <w:p w:rsidR="00C12B14" w:rsidRPr="007D2CA8" w:rsidRDefault="00C12B14" w:rsidP="005C4253">
            <w:pPr>
              <w:rPr>
                <w:rFonts w:ascii="Garamond" w:hAnsi="Garamond"/>
                <w:color w:val="000000"/>
                <w:spacing w:val="-4"/>
                <w:sz w:val="16"/>
                <w:szCs w:val="16"/>
              </w:rPr>
            </w:pPr>
            <w:r w:rsidRPr="007D2CA8">
              <w:rPr>
                <w:rFonts w:ascii="Garamond" w:hAnsi="Garamond"/>
                <w:color w:val="000000"/>
                <w:spacing w:val="-4"/>
                <w:sz w:val="16"/>
                <w:szCs w:val="16"/>
              </w:rPr>
              <w:t>Incapacità nel rispettare le clausole contrattu</w:t>
            </w:r>
            <w:r w:rsidRPr="007D2CA8">
              <w:rPr>
                <w:rFonts w:ascii="Garamond" w:hAnsi="Garamond"/>
                <w:color w:val="000000"/>
                <w:spacing w:val="-4"/>
                <w:sz w:val="16"/>
                <w:szCs w:val="16"/>
              </w:rPr>
              <w:t>a</w:t>
            </w:r>
            <w:r w:rsidRPr="007D2CA8">
              <w:rPr>
                <w:rFonts w:ascii="Garamond" w:hAnsi="Garamond"/>
                <w:color w:val="000000"/>
                <w:spacing w:val="-4"/>
                <w:sz w:val="16"/>
                <w:szCs w:val="16"/>
              </w:rPr>
              <w:t>li dei prestiti;</w:t>
            </w:r>
          </w:p>
        </w:tc>
        <w:tc>
          <w:tcPr>
            <w:tcW w:w="1387" w:type="pct"/>
            <w:vAlign w:val="center"/>
          </w:tcPr>
          <w:p w:rsidR="00C12B14" w:rsidRPr="007D2CA8" w:rsidRDefault="00C12B14" w:rsidP="005C4253">
            <w:pPr>
              <w:rPr>
                <w:rFonts w:ascii="Garamond" w:hAnsi="Garamond"/>
                <w:i/>
                <w:iCs/>
                <w:color w:val="000000"/>
                <w:spacing w:val="-4"/>
                <w:sz w:val="16"/>
                <w:szCs w:val="16"/>
              </w:rPr>
            </w:pPr>
            <w:proofErr w:type="spellStart"/>
            <w:r w:rsidRPr="007D2CA8">
              <w:rPr>
                <w:rFonts w:ascii="Garamond" w:hAnsi="Garamond"/>
                <w:i/>
                <w:iCs/>
                <w:color w:val="000000"/>
                <w:spacing w:val="-4"/>
                <w:sz w:val="16"/>
                <w:szCs w:val="16"/>
              </w:rPr>
              <w:t>Covenants</w:t>
            </w:r>
            <w:proofErr w:type="spellEnd"/>
            <w:r w:rsidRPr="007D2CA8">
              <w:rPr>
                <w:rFonts w:ascii="Garamond" w:hAnsi="Garamond"/>
                <w:i/>
                <w:iCs/>
                <w:color w:val="000000"/>
                <w:spacing w:val="-4"/>
                <w:sz w:val="16"/>
                <w:szCs w:val="16"/>
              </w:rPr>
              <w:t xml:space="preserve"> o per fidejussioni prestate, mancato rispetto condizioni risolutive di accordi di ristrutturazione (indicazione valore)</w:t>
            </w:r>
          </w:p>
        </w:tc>
        <w:tc>
          <w:tcPr>
            <w:tcW w:w="1349" w:type="pct"/>
            <w:vAlign w:val="center"/>
          </w:tcPr>
          <w:p w:rsidR="00C12B14" w:rsidRPr="007D2CA8" w:rsidRDefault="00C12B14" w:rsidP="005C4253">
            <w:pPr>
              <w:rPr>
                <w:rFonts w:ascii="Garamond" w:hAnsi="Garamond"/>
                <w:i/>
                <w:iCs/>
                <w:color w:val="000000"/>
                <w:spacing w:val="-4"/>
                <w:sz w:val="16"/>
                <w:szCs w:val="16"/>
              </w:rPr>
            </w:pPr>
            <w:proofErr w:type="spellStart"/>
            <w:r w:rsidRPr="007D2CA8">
              <w:rPr>
                <w:rFonts w:ascii="Garamond" w:hAnsi="Garamond"/>
                <w:i/>
                <w:iCs/>
                <w:color w:val="000000"/>
                <w:spacing w:val="-4"/>
                <w:sz w:val="16"/>
                <w:szCs w:val="16"/>
              </w:rPr>
              <w:t>Covenants</w:t>
            </w:r>
            <w:proofErr w:type="spellEnd"/>
            <w:r w:rsidRPr="007D2CA8">
              <w:rPr>
                <w:rFonts w:ascii="Garamond" w:hAnsi="Garamond"/>
                <w:i/>
                <w:iCs/>
                <w:color w:val="000000"/>
                <w:spacing w:val="-4"/>
                <w:sz w:val="16"/>
                <w:szCs w:val="16"/>
              </w:rPr>
              <w:t xml:space="preserve"> o per fidejussioni prestate, ma</w:t>
            </w:r>
            <w:r w:rsidRPr="007D2CA8">
              <w:rPr>
                <w:rFonts w:ascii="Garamond" w:hAnsi="Garamond"/>
                <w:i/>
                <w:iCs/>
                <w:color w:val="000000"/>
                <w:spacing w:val="-4"/>
                <w:sz w:val="16"/>
                <w:szCs w:val="16"/>
              </w:rPr>
              <w:t>n</w:t>
            </w:r>
            <w:r w:rsidRPr="007D2CA8">
              <w:rPr>
                <w:rFonts w:ascii="Garamond" w:hAnsi="Garamond"/>
                <w:i/>
                <w:iCs/>
                <w:color w:val="000000"/>
                <w:spacing w:val="-4"/>
                <w:sz w:val="16"/>
                <w:szCs w:val="16"/>
              </w:rPr>
              <w:t>cato rispetto condizioni risolutive di accordi di ristrutturazione (senza indic</w:t>
            </w:r>
            <w:r w:rsidRPr="007D2CA8">
              <w:rPr>
                <w:rFonts w:ascii="Garamond" w:hAnsi="Garamond"/>
                <w:i/>
                <w:iCs/>
                <w:color w:val="000000"/>
                <w:spacing w:val="-4"/>
                <w:sz w:val="16"/>
                <w:szCs w:val="16"/>
              </w:rPr>
              <w:t>a</w:t>
            </w:r>
            <w:r w:rsidRPr="007D2CA8">
              <w:rPr>
                <w:rFonts w:ascii="Garamond" w:hAnsi="Garamond"/>
                <w:i/>
                <w:iCs/>
                <w:color w:val="000000"/>
                <w:spacing w:val="-4"/>
                <w:sz w:val="16"/>
                <w:szCs w:val="16"/>
              </w:rPr>
              <w:t>zione del valore)</w:t>
            </w:r>
          </w:p>
        </w:tc>
      </w:tr>
      <w:tr w:rsidR="00C12B14" w:rsidRPr="007D2CA8" w:rsidTr="005C4253">
        <w:trPr>
          <w:trHeight w:val="454"/>
        </w:trPr>
        <w:tc>
          <w:tcPr>
            <w:tcW w:w="196" w:type="pct"/>
            <w:vAlign w:val="center"/>
          </w:tcPr>
          <w:p w:rsidR="00C12B14" w:rsidRPr="007D2CA8" w:rsidRDefault="00C12B14" w:rsidP="005C4253">
            <w:pPr>
              <w:jc w:val="center"/>
              <w:rPr>
                <w:rFonts w:ascii="Garamond" w:hAnsi="Garamond"/>
                <w:color w:val="000000"/>
                <w:spacing w:val="-4"/>
                <w:sz w:val="16"/>
                <w:szCs w:val="16"/>
              </w:rPr>
            </w:pPr>
            <w:r w:rsidRPr="007D2CA8">
              <w:rPr>
                <w:rFonts w:ascii="Garamond" w:hAnsi="Garamond"/>
                <w:color w:val="000000"/>
                <w:spacing w:val="-4"/>
                <w:sz w:val="16"/>
                <w:szCs w:val="16"/>
              </w:rPr>
              <w:t>10</w:t>
            </w:r>
          </w:p>
        </w:tc>
        <w:tc>
          <w:tcPr>
            <w:tcW w:w="339" w:type="pct"/>
            <w:noWrap/>
            <w:vAlign w:val="center"/>
          </w:tcPr>
          <w:p w:rsidR="00C12B14" w:rsidRPr="007D2CA8" w:rsidRDefault="00C12B14" w:rsidP="005C4253">
            <w:pPr>
              <w:jc w:val="center"/>
              <w:rPr>
                <w:rFonts w:ascii="Garamond" w:hAnsi="Garamond"/>
                <w:color w:val="000000"/>
                <w:spacing w:val="-4"/>
                <w:sz w:val="16"/>
                <w:szCs w:val="16"/>
              </w:rPr>
            </w:pPr>
            <w:r w:rsidRPr="007D2CA8">
              <w:rPr>
                <w:rFonts w:ascii="Garamond" w:hAnsi="Garamond"/>
                <w:color w:val="000000"/>
                <w:spacing w:val="-4"/>
                <w:sz w:val="16"/>
                <w:szCs w:val="16"/>
              </w:rPr>
              <w:t>IF.10</w:t>
            </w:r>
          </w:p>
        </w:tc>
        <w:tc>
          <w:tcPr>
            <w:tcW w:w="1728" w:type="pct"/>
            <w:vAlign w:val="center"/>
          </w:tcPr>
          <w:p w:rsidR="00C12B14" w:rsidRPr="007D2CA8" w:rsidRDefault="00C12B14" w:rsidP="005C4253">
            <w:pPr>
              <w:rPr>
                <w:rFonts w:ascii="Garamond" w:hAnsi="Garamond"/>
                <w:color w:val="000000"/>
                <w:spacing w:val="-4"/>
                <w:sz w:val="16"/>
                <w:szCs w:val="16"/>
              </w:rPr>
            </w:pPr>
            <w:r w:rsidRPr="007D2CA8">
              <w:rPr>
                <w:rFonts w:ascii="Garamond" w:hAnsi="Garamond"/>
                <w:color w:val="000000"/>
                <w:spacing w:val="-4"/>
                <w:sz w:val="16"/>
                <w:szCs w:val="16"/>
              </w:rPr>
              <w:t>Cambiamento delle forme di pagamento conce</w:t>
            </w:r>
            <w:r w:rsidRPr="007D2CA8">
              <w:rPr>
                <w:rFonts w:ascii="Garamond" w:hAnsi="Garamond"/>
                <w:color w:val="000000"/>
                <w:spacing w:val="-4"/>
                <w:sz w:val="16"/>
                <w:szCs w:val="16"/>
              </w:rPr>
              <w:t>s</w:t>
            </w:r>
            <w:r w:rsidRPr="007D2CA8">
              <w:rPr>
                <w:rFonts w:ascii="Garamond" w:hAnsi="Garamond"/>
                <w:color w:val="000000"/>
                <w:spacing w:val="-4"/>
                <w:sz w:val="16"/>
                <w:szCs w:val="16"/>
              </w:rPr>
              <w:t>se dai fornitori dalla condizione “a credito” alla condizione “pagamento alla consegna";</w:t>
            </w:r>
          </w:p>
        </w:tc>
        <w:tc>
          <w:tcPr>
            <w:tcW w:w="1387" w:type="pct"/>
            <w:vAlign w:val="center"/>
          </w:tcPr>
          <w:p w:rsidR="00C12B14" w:rsidRPr="007D2CA8" w:rsidRDefault="00C12B14" w:rsidP="005C4253">
            <w:pPr>
              <w:rPr>
                <w:rFonts w:ascii="Garamond" w:hAnsi="Garamond"/>
                <w:i/>
                <w:iCs/>
                <w:color w:val="000000"/>
                <w:spacing w:val="-4"/>
                <w:sz w:val="16"/>
                <w:szCs w:val="16"/>
              </w:rPr>
            </w:pPr>
            <w:r w:rsidRPr="007D2CA8">
              <w:rPr>
                <w:rFonts w:ascii="Garamond" w:hAnsi="Garamond"/>
                <w:i/>
                <w:iCs/>
                <w:color w:val="000000"/>
                <w:spacing w:val="-4"/>
                <w:sz w:val="16"/>
                <w:szCs w:val="16"/>
              </w:rPr>
              <w:t>NON RILEVATO</w:t>
            </w:r>
          </w:p>
        </w:tc>
        <w:tc>
          <w:tcPr>
            <w:tcW w:w="1349" w:type="pct"/>
            <w:vAlign w:val="center"/>
          </w:tcPr>
          <w:p w:rsidR="00C12B14" w:rsidRPr="007D2CA8" w:rsidRDefault="00C12B14" w:rsidP="005C4253">
            <w:pPr>
              <w:rPr>
                <w:rFonts w:ascii="Garamond" w:hAnsi="Garamond"/>
                <w:i/>
                <w:iCs/>
                <w:color w:val="000000"/>
                <w:spacing w:val="-4"/>
                <w:sz w:val="16"/>
                <w:szCs w:val="16"/>
              </w:rPr>
            </w:pPr>
            <w:r w:rsidRPr="007D2CA8">
              <w:rPr>
                <w:rFonts w:ascii="Garamond" w:hAnsi="Garamond"/>
                <w:i/>
                <w:iCs/>
                <w:color w:val="000000"/>
                <w:spacing w:val="-4"/>
                <w:sz w:val="16"/>
                <w:szCs w:val="16"/>
              </w:rPr>
              <w:t>NON RILEVATO</w:t>
            </w:r>
          </w:p>
        </w:tc>
      </w:tr>
      <w:tr w:rsidR="00C12B14" w:rsidRPr="007D2CA8" w:rsidTr="005C4253">
        <w:trPr>
          <w:trHeight w:val="454"/>
        </w:trPr>
        <w:tc>
          <w:tcPr>
            <w:tcW w:w="196" w:type="pct"/>
            <w:vAlign w:val="center"/>
          </w:tcPr>
          <w:p w:rsidR="00C12B14" w:rsidRPr="007D2CA8" w:rsidRDefault="00C12B14" w:rsidP="005C4253">
            <w:pPr>
              <w:jc w:val="center"/>
              <w:rPr>
                <w:rFonts w:ascii="Garamond" w:hAnsi="Garamond"/>
                <w:color w:val="000000"/>
                <w:spacing w:val="-4"/>
                <w:sz w:val="16"/>
                <w:szCs w:val="16"/>
              </w:rPr>
            </w:pPr>
            <w:r w:rsidRPr="007D2CA8">
              <w:rPr>
                <w:rFonts w:ascii="Garamond" w:hAnsi="Garamond"/>
                <w:color w:val="000000"/>
                <w:spacing w:val="-4"/>
                <w:sz w:val="16"/>
                <w:szCs w:val="16"/>
              </w:rPr>
              <w:t>11</w:t>
            </w:r>
          </w:p>
        </w:tc>
        <w:tc>
          <w:tcPr>
            <w:tcW w:w="339" w:type="pct"/>
            <w:noWrap/>
            <w:vAlign w:val="center"/>
          </w:tcPr>
          <w:p w:rsidR="00C12B14" w:rsidRPr="007D2CA8" w:rsidRDefault="00C12B14" w:rsidP="005C4253">
            <w:pPr>
              <w:jc w:val="center"/>
              <w:rPr>
                <w:rFonts w:ascii="Garamond" w:hAnsi="Garamond"/>
                <w:color w:val="000000"/>
                <w:spacing w:val="-4"/>
                <w:sz w:val="16"/>
                <w:szCs w:val="16"/>
              </w:rPr>
            </w:pPr>
            <w:r w:rsidRPr="007D2CA8">
              <w:rPr>
                <w:rFonts w:ascii="Garamond" w:hAnsi="Garamond"/>
                <w:color w:val="000000"/>
                <w:spacing w:val="-4"/>
                <w:sz w:val="16"/>
                <w:szCs w:val="16"/>
              </w:rPr>
              <w:t>IF.11</w:t>
            </w:r>
          </w:p>
        </w:tc>
        <w:tc>
          <w:tcPr>
            <w:tcW w:w="1728" w:type="pct"/>
            <w:vAlign w:val="center"/>
          </w:tcPr>
          <w:p w:rsidR="00C12B14" w:rsidRPr="007D2CA8" w:rsidRDefault="00C12B14" w:rsidP="005C4253">
            <w:pPr>
              <w:rPr>
                <w:rFonts w:ascii="Garamond" w:hAnsi="Garamond"/>
                <w:color w:val="000000"/>
                <w:spacing w:val="-4"/>
                <w:sz w:val="16"/>
                <w:szCs w:val="16"/>
              </w:rPr>
            </w:pPr>
            <w:r w:rsidRPr="007D2CA8">
              <w:rPr>
                <w:rFonts w:ascii="Garamond" w:hAnsi="Garamond"/>
                <w:color w:val="000000"/>
                <w:spacing w:val="-4"/>
                <w:sz w:val="16"/>
                <w:szCs w:val="16"/>
              </w:rPr>
              <w:t>Incapacità di ottenere finanziamenti per lo sv</w:t>
            </w:r>
            <w:r w:rsidRPr="007D2CA8">
              <w:rPr>
                <w:rFonts w:ascii="Garamond" w:hAnsi="Garamond"/>
                <w:color w:val="000000"/>
                <w:spacing w:val="-4"/>
                <w:sz w:val="16"/>
                <w:szCs w:val="16"/>
              </w:rPr>
              <w:t>i</w:t>
            </w:r>
            <w:r w:rsidRPr="007D2CA8">
              <w:rPr>
                <w:rFonts w:ascii="Garamond" w:hAnsi="Garamond"/>
                <w:color w:val="000000"/>
                <w:spacing w:val="-4"/>
                <w:sz w:val="16"/>
                <w:szCs w:val="16"/>
              </w:rPr>
              <w:t>luppo di nuovi prodotti ovvero per altri invest</w:t>
            </w:r>
            <w:r w:rsidRPr="007D2CA8">
              <w:rPr>
                <w:rFonts w:ascii="Garamond" w:hAnsi="Garamond"/>
                <w:color w:val="000000"/>
                <w:spacing w:val="-4"/>
                <w:sz w:val="16"/>
                <w:szCs w:val="16"/>
              </w:rPr>
              <w:t>i</w:t>
            </w:r>
            <w:r w:rsidRPr="007D2CA8">
              <w:rPr>
                <w:rFonts w:ascii="Garamond" w:hAnsi="Garamond"/>
                <w:color w:val="000000"/>
                <w:spacing w:val="-4"/>
                <w:sz w:val="16"/>
                <w:szCs w:val="16"/>
              </w:rPr>
              <w:t>menti necessari.</w:t>
            </w:r>
          </w:p>
        </w:tc>
        <w:tc>
          <w:tcPr>
            <w:tcW w:w="1387" w:type="pct"/>
            <w:vAlign w:val="center"/>
          </w:tcPr>
          <w:p w:rsidR="00C12B14" w:rsidRPr="007D2CA8" w:rsidRDefault="00C12B14" w:rsidP="005C4253">
            <w:pPr>
              <w:rPr>
                <w:rFonts w:ascii="Garamond" w:hAnsi="Garamond"/>
                <w:i/>
                <w:iCs/>
                <w:color w:val="000000"/>
                <w:spacing w:val="-4"/>
                <w:sz w:val="16"/>
                <w:szCs w:val="16"/>
              </w:rPr>
            </w:pPr>
            <w:r w:rsidRPr="007D2CA8">
              <w:rPr>
                <w:rFonts w:ascii="Garamond" w:hAnsi="Garamond"/>
                <w:i/>
                <w:iCs/>
                <w:color w:val="000000"/>
                <w:spacing w:val="-4"/>
                <w:sz w:val="16"/>
                <w:szCs w:val="16"/>
              </w:rPr>
              <w:t>Problematiche nel reperimento di risorse finanziarie necessarie per far fronte allo sviluppo delle iniziative di investimento (indicazione valore)</w:t>
            </w:r>
          </w:p>
        </w:tc>
        <w:tc>
          <w:tcPr>
            <w:tcW w:w="1349" w:type="pct"/>
            <w:vAlign w:val="center"/>
          </w:tcPr>
          <w:p w:rsidR="00C12B14" w:rsidRPr="007D2CA8" w:rsidRDefault="00C12B14" w:rsidP="005C4253">
            <w:pPr>
              <w:rPr>
                <w:rFonts w:ascii="Garamond" w:hAnsi="Garamond"/>
                <w:i/>
                <w:iCs/>
                <w:color w:val="000000"/>
                <w:spacing w:val="-4"/>
                <w:sz w:val="16"/>
                <w:szCs w:val="16"/>
              </w:rPr>
            </w:pPr>
            <w:r w:rsidRPr="007D2CA8">
              <w:rPr>
                <w:rFonts w:ascii="Garamond" w:hAnsi="Garamond"/>
                <w:i/>
                <w:iCs/>
                <w:color w:val="000000"/>
                <w:spacing w:val="-4"/>
                <w:sz w:val="16"/>
                <w:szCs w:val="16"/>
              </w:rPr>
              <w:t>Problematiche nel reperimento di risorse finanziarie necessarie per far fronte allo sviluppo delle iniziative di investimento (senza indicazione del valore)</w:t>
            </w:r>
          </w:p>
        </w:tc>
      </w:tr>
      <w:tr w:rsidR="00C12B14" w:rsidRPr="007D2CA8" w:rsidTr="005C4253">
        <w:trPr>
          <w:trHeight w:val="454"/>
        </w:trPr>
        <w:tc>
          <w:tcPr>
            <w:tcW w:w="196" w:type="pct"/>
            <w:tcBorders>
              <w:left w:val="nil"/>
              <w:right w:val="nil"/>
            </w:tcBorders>
            <w:vAlign w:val="center"/>
          </w:tcPr>
          <w:p w:rsidR="00C12B14" w:rsidRPr="007D2CA8" w:rsidRDefault="00C12B14" w:rsidP="005C4253">
            <w:pPr>
              <w:jc w:val="center"/>
              <w:rPr>
                <w:rFonts w:ascii="Garamond" w:hAnsi="Garamond"/>
                <w:b/>
                <w:bCs/>
                <w:color w:val="000000"/>
                <w:spacing w:val="-4"/>
                <w:sz w:val="16"/>
                <w:szCs w:val="16"/>
              </w:rPr>
            </w:pPr>
          </w:p>
        </w:tc>
        <w:tc>
          <w:tcPr>
            <w:tcW w:w="339" w:type="pct"/>
            <w:tcBorders>
              <w:left w:val="nil"/>
              <w:right w:val="nil"/>
            </w:tcBorders>
            <w:noWrap/>
            <w:vAlign w:val="center"/>
          </w:tcPr>
          <w:p w:rsidR="00C12B14" w:rsidRPr="007D2CA8" w:rsidRDefault="00C12B14" w:rsidP="005C4253">
            <w:pPr>
              <w:jc w:val="center"/>
              <w:rPr>
                <w:rFonts w:ascii="Garamond" w:hAnsi="Garamond"/>
                <w:b/>
                <w:bCs/>
                <w:color w:val="000000"/>
                <w:spacing w:val="-4"/>
                <w:sz w:val="16"/>
                <w:szCs w:val="16"/>
              </w:rPr>
            </w:pPr>
          </w:p>
        </w:tc>
        <w:tc>
          <w:tcPr>
            <w:tcW w:w="1728" w:type="pct"/>
            <w:tcBorders>
              <w:left w:val="nil"/>
              <w:right w:val="nil"/>
            </w:tcBorders>
            <w:vAlign w:val="center"/>
          </w:tcPr>
          <w:p w:rsidR="00C12B14" w:rsidRPr="007D2CA8" w:rsidRDefault="00C12B14" w:rsidP="005C4253">
            <w:pPr>
              <w:rPr>
                <w:rFonts w:ascii="Garamond" w:hAnsi="Garamond"/>
                <w:b/>
                <w:bCs/>
                <w:i/>
                <w:iCs/>
                <w:color w:val="000000"/>
                <w:spacing w:val="-4"/>
                <w:sz w:val="16"/>
                <w:szCs w:val="16"/>
              </w:rPr>
            </w:pPr>
            <w:r w:rsidRPr="007D2CA8">
              <w:rPr>
                <w:rFonts w:ascii="Garamond" w:hAnsi="Garamond"/>
                <w:b/>
                <w:bCs/>
                <w:iCs/>
                <w:smallCaps/>
                <w:color w:val="000000"/>
                <w:spacing w:val="-4"/>
                <w:sz w:val="16"/>
                <w:szCs w:val="16"/>
              </w:rPr>
              <w:t>Indicatori gestionali</w:t>
            </w:r>
          </w:p>
        </w:tc>
        <w:tc>
          <w:tcPr>
            <w:tcW w:w="1387" w:type="pct"/>
            <w:tcBorders>
              <w:left w:val="nil"/>
              <w:right w:val="nil"/>
            </w:tcBorders>
            <w:vAlign w:val="center"/>
          </w:tcPr>
          <w:p w:rsidR="00C12B14" w:rsidRPr="007D2CA8" w:rsidRDefault="00C12B14" w:rsidP="005C4253">
            <w:pPr>
              <w:rPr>
                <w:rFonts w:ascii="Garamond" w:hAnsi="Garamond"/>
                <w:b/>
                <w:bCs/>
                <w:i/>
                <w:iCs/>
                <w:color w:val="000000"/>
                <w:spacing w:val="-4"/>
                <w:sz w:val="16"/>
                <w:szCs w:val="16"/>
              </w:rPr>
            </w:pPr>
          </w:p>
        </w:tc>
        <w:tc>
          <w:tcPr>
            <w:tcW w:w="1349" w:type="pct"/>
            <w:tcBorders>
              <w:left w:val="nil"/>
              <w:right w:val="nil"/>
            </w:tcBorders>
            <w:vAlign w:val="center"/>
          </w:tcPr>
          <w:p w:rsidR="00C12B14" w:rsidRPr="007D2CA8" w:rsidRDefault="00C12B14" w:rsidP="005C4253">
            <w:pPr>
              <w:rPr>
                <w:rFonts w:ascii="Garamond" w:hAnsi="Garamond"/>
                <w:b/>
                <w:bCs/>
                <w:i/>
                <w:iCs/>
                <w:color w:val="000000"/>
                <w:spacing w:val="-4"/>
                <w:sz w:val="16"/>
                <w:szCs w:val="16"/>
              </w:rPr>
            </w:pPr>
          </w:p>
        </w:tc>
      </w:tr>
      <w:tr w:rsidR="00C12B14" w:rsidRPr="007D2CA8" w:rsidTr="005C4253">
        <w:trPr>
          <w:trHeight w:val="454"/>
        </w:trPr>
        <w:tc>
          <w:tcPr>
            <w:tcW w:w="196" w:type="pct"/>
            <w:vAlign w:val="center"/>
          </w:tcPr>
          <w:p w:rsidR="00C12B14" w:rsidRPr="007D2CA8" w:rsidRDefault="00C12B14" w:rsidP="005C4253">
            <w:pPr>
              <w:jc w:val="center"/>
              <w:rPr>
                <w:rFonts w:ascii="Garamond" w:hAnsi="Garamond"/>
                <w:color w:val="000000"/>
                <w:spacing w:val="-4"/>
                <w:sz w:val="16"/>
                <w:szCs w:val="16"/>
              </w:rPr>
            </w:pPr>
            <w:r w:rsidRPr="007D2CA8">
              <w:rPr>
                <w:rFonts w:ascii="Garamond" w:hAnsi="Garamond"/>
                <w:color w:val="000000"/>
                <w:spacing w:val="-4"/>
                <w:sz w:val="16"/>
                <w:szCs w:val="16"/>
              </w:rPr>
              <w:t>12</w:t>
            </w:r>
          </w:p>
        </w:tc>
        <w:tc>
          <w:tcPr>
            <w:tcW w:w="339" w:type="pct"/>
            <w:noWrap/>
            <w:vAlign w:val="center"/>
          </w:tcPr>
          <w:p w:rsidR="00C12B14" w:rsidRPr="007D2CA8" w:rsidRDefault="00C12B14" w:rsidP="005C4253">
            <w:pPr>
              <w:jc w:val="center"/>
              <w:rPr>
                <w:rFonts w:ascii="Garamond" w:hAnsi="Garamond"/>
                <w:color w:val="000000"/>
                <w:spacing w:val="-4"/>
                <w:sz w:val="16"/>
                <w:szCs w:val="16"/>
              </w:rPr>
            </w:pPr>
            <w:r w:rsidRPr="007D2CA8">
              <w:rPr>
                <w:rFonts w:ascii="Garamond" w:hAnsi="Garamond"/>
                <w:color w:val="000000"/>
                <w:spacing w:val="-4"/>
                <w:sz w:val="16"/>
                <w:szCs w:val="16"/>
              </w:rPr>
              <w:t>IG.1</w:t>
            </w:r>
          </w:p>
        </w:tc>
        <w:tc>
          <w:tcPr>
            <w:tcW w:w="1728" w:type="pct"/>
            <w:vAlign w:val="center"/>
          </w:tcPr>
          <w:p w:rsidR="00C12B14" w:rsidRPr="007D2CA8" w:rsidRDefault="00C12B14" w:rsidP="005C4253">
            <w:pPr>
              <w:rPr>
                <w:rFonts w:ascii="Garamond" w:hAnsi="Garamond"/>
                <w:color w:val="000000"/>
                <w:spacing w:val="-4"/>
                <w:sz w:val="16"/>
                <w:szCs w:val="16"/>
              </w:rPr>
            </w:pPr>
            <w:r w:rsidRPr="007D2CA8">
              <w:rPr>
                <w:rFonts w:ascii="Garamond" w:hAnsi="Garamond"/>
                <w:color w:val="000000"/>
                <w:spacing w:val="-4"/>
                <w:sz w:val="16"/>
                <w:szCs w:val="16"/>
              </w:rPr>
              <w:t>Perdita di amministratori o di dirigenti chiave senza riuscire a sostituirli;</w:t>
            </w:r>
          </w:p>
        </w:tc>
        <w:tc>
          <w:tcPr>
            <w:tcW w:w="1387" w:type="pct"/>
            <w:vAlign w:val="center"/>
          </w:tcPr>
          <w:p w:rsidR="00C12B14" w:rsidRPr="007D2CA8" w:rsidRDefault="00C12B14" w:rsidP="005C4253">
            <w:pPr>
              <w:rPr>
                <w:rFonts w:ascii="Garamond" w:hAnsi="Garamond"/>
                <w:i/>
                <w:iCs/>
                <w:color w:val="000000"/>
                <w:spacing w:val="-4"/>
                <w:sz w:val="16"/>
                <w:szCs w:val="16"/>
              </w:rPr>
            </w:pPr>
            <w:r w:rsidRPr="007D2CA8">
              <w:rPr>
                <w:rFonts w:ascii="Garamond" w:hAnsi="Garamond"/>
                <w:i/>
                <w:iCs/>
                <w:color w:val="000000"/>
                <w:spacing w:val="-4"/>
                <w:sz w:val="16"/>
                <w:szCs w:val="16"/>
              </w:rPr>
              <w:t>NON RILEVATO</w:t>
            </w:r>
          </w:p>
        </w:tc>
        <w:tc>
          <w:tcPr>
            <w:tcW w:w="1349" w:type="pct"/>
            <w:vAlign w:val="center"/>
          </w:tcPr>
          <w:p w:rsidR="00C12B14" w:rsidRPr="007D2CA8" w:rsidRDefault="00C12B14" w:rsidP="005C4253">
            <w:pPr>
              <w:rPr>
                <w:rFonts w:ascii="Garamond" w:hAnsi="Garamond"/>
                <w:i/>
                <w:iCs/>
                <w:color w:val="000000"/>
                <w:spacing w:val="-4"/>
                <w:sz w:val="16"/>
                <w:szCs w:val="16"/>
              </w:rPr>
            </w:pPr>
            <w:r w:rsidRPr="007D2CA8">
              <w:rPr>
                <w:rFonts w:ascii="Garamond" w:hAnsi="Garamond"/>
                <w:i/>
                <w:iCs/>
                <w:color w:val="000000"/>
                <w:spacing w:val="-4"/>
                <w:sz w:val="16"/>
                <w:szCs w:val="16"/>
              </w:rPr>
              <w:t>Indisponibilità a ricoprire la carica di Dirigente preposto alla redazione dei doc</w:t>
            </w:r>
            <w:r w:rsidRPr="007D2CA8">
              <w:rPr>
                <w:rFonts w:ascii="Garamond" w:hAnsi="Garamond"/>
                <w:i/>
                <w:iCs/>
                <w:color w:val="000000"/>
                <w:spacing w:val="-4"/>
                <w:sz w:val="16"/>
                <w:szCs w:val="16"/>
              </w:rPr>
              <w:t>u</w:t>
            </w:r>
            <w:r w:rsidRPr="007D2CA8">
              <w:rPr>
                <w:rFonts w:ascii="Garamond" w:hAnsi="Garamond"/>
                <w:i/>
                <w:iCs/>
                <w:color w:val="000000"/>
                <w:spacing w:val="-4"/>
                <w:sz w:val="16"/>
                <w:szCs w:val="16"/>
              </w:rPr>
              <w:t>menti contabili societari</w:t>
            </w:r>
          </w:p>
        </w:tc>
      </w:tr>
      <w:tr w:rsidR="00C12B14" w:rsidRPr="007D2CA8" w:rsidTr="005C4253">
        <w:trPr>
          <w:trHeight w:val="454"/>
        </w:trPr>
        <w:tc>
          <w:tcPr>
            <w:tcW w:w="196" w:type="pct"/>
            <w:vAlign w:val="center"/>
          </w:tcPr>
          <w:p w:rsidR="00C12B14" w:rsidRPr="007D2CA8" w:rsidRDefault="00C12B14" w:rsidP="005C4253">
            <w:pPr>
              <w:jc w:val="center"/>
              <w:rPr>
                <w:rFonts w:ascii="Garamond" w:hAnsi="Garamond"/>
                <w:color w:val="000000"/>
                <w:spacing w:val="-4"/>
                <w:sz w:val="16"/>
                <w:szCs w:val="16"/>
              </w:rPr>
            </w:pPr>
            <w:r w:rsidRPr="007D2CA8">
              <w:rPr>
                <w:rFonts w:ascii="Garamond" w:hAnsi="Garamond"/>
                <w:color w:val="000000"/>
                <w:spacing w:val="-4"/>
                <w:sz w:val="16"/>
                <w:szCs w:val="16"/>
              </w:rPr>
              <w:t>13</w:t>
            </w:r>
          </w:p>
        </w:tc>
        <w:tc>
          <w:tcPr>
            <w:tcW w:w="339" w:type="pct"/>
            <w:noWrap/>
            <w:vAlign w:val="center"/>
          </w:tcPr>
          <w:p w:rsidR="00C12B14" w:rsidRPr="007D2CA8" w:rsidRDefault="00C12B14" w:rsidP="005C4253">
            <w:pPr>
              <w:jc w:val="center"/>
              <w:rPr>
                <w:rFonts w:ascii="Garamond" w:hAnsi="Garamond"/>
                <w:color w:val="000000"/>
                <w:spacing w:val="-4"/>
                <w:sz w:val="16"/>
                <w:szCs w:val="16"/>
              </w:rPr>
            </w:pPr>
            <w:r w:rsidRPr="007D2CA8">
              <w:rPr>
                <w:rFonts w:ascii="Garamond" w:hAnsi="Garamond"/>
                <w:color w:val="000000"/>
                <w:spacing w:val="-4"/>
                <w:sz w:val="16"/>
                <w:szCs w:val="16"/>
              </w:rPr>
              <w:t>IG.2</w:t>
            </w:r>
          </w:p>
        </w:tc>
        <w:tc>
          <w:tcPr>
            <w:tcW w:w="1728" w:type="pct"/>
            <w:vAlign w:val="center"/>
          </w:tcPr>
          <w:p w:rsidR="00C12B14" w:rsidRPr="007D2CA8" w:rsidRDefault="00C12B14" w:rsidP="005C4253">
            <w:pPr>
              <w:rPr>
                <w:rFonts w:ascii="Garamond" w:hAnsi="Garamond"/>
                <w:color w:val="000000"/>
                <w:spacing w:val="-4"/>
                <w:sz w:val="16"/>
                <w:szCs w:val="16"/>
              </w:rPr>
            </w:pPr>
            <w:r w:rsidRPr="007D2CA8">
              <w:rPr>
                <w:rFonts w:ascii="Garamond" w:hAnsi="Garamond"/>
                <w:color w:val="000000"/>
                <w:spacing w:val="-4"/>
                <w:sz w:val="16"/>
                <w:szCs w:val="16"/>
              </w:rPr>
              <w:t>Perdita di mercati fondamentali, di contra</w:t>
            </w:r>
            <w:r w:rsidRPr="007D2CA8">
              <w:rPr>
                <w:rFonts w:ascii="Garamond" w:hAnsi="Garamond"/>
                <w:color w:val="000000"/>
                <w:spacing w:val="-4"/>
                <w:sz w:val="16"/>
                <w:szCs w:val="16"/>
              </w:rPr>
              <w:t>t</w:t>
            </w:r>
            <w:r w:rsidRPr="007D2CA8">
              <w:rPr>
                <w:rFonts w:ascii="Garamond" w:hAnsi="Garamond"/>
                <w:color w:val="000000"/>
                <w:spacing w:val="-4"/>
                <w:sz w:val="16"/>
                <w:szCs w:val="16"/>
              </w:rPr>
              <w:t>ti di distribuzione, di concessioni o di fornitori i</w:t>
            </w:r>
            <w:r w:rsidRPr="007D2CA8">
              <w:rPr>
                <w:rFonts w:ascii="Garamond" w:hAnsi="Garamond"/>
                <w:color w:val="000000"/>
                <w:spacing w:val="-4"/>
                <w:sz w:val="16"/>
                <w:szCs w:val="16"/>
              </w:rPr>
              <w:t>m</w:t>
            </w:r>
            <w:r w:rsidRPr="007D2CA8">
              <w:rPr>
                <w:rFonts w:ascii="Garamond" w:hAnsi="Garamond"/>
                <w:color w:val="000000"/>
                <w:spacing w:val="-4"/>
                <w:sz w:val="16"/>
                <w:szCs w:val="16"/>
              </w:rPr>
              <w:t>portanti;</w:t>
            </w:r>
          </w:p>
        </w:tc>
        <w:tc>
          <w:tcPr>
            <w:tcW w:w="1387" w:type="pct"/>
            <w:vAlign w:val="center"/>
          </w:tcPr>
          <w:p w:rsidR="00C12B14" w:rsidRPr="007D2CA8" w:rsidRDefault="00C12B14" w:rsidP="005C4253">
            <w:pPr>
              <w:rPr>
                <w:rFonts w:ascii="Garamond" w:hAnsi="Garamond"/>
                <w:i/>
                <w:iCs/>
                <w:color w:val="000000"/>
                <w:spacing w:val="-4"/>
                <w:sz w:val="16"/>
                <w:szCs w:val="16"/>
              </w:rPr>
            </w:pPr>
            <w:r w:rsidRPr="007D2CA8">
              <w:rPr>
                <w:rFonts w:ascii="Garamond" w:hAnsi="Garamond"/>
                <w:i/>
                <w:iCs/>
                <w:color w:val="000000"/>
                <w:spacing w:val="-4"/>
                <w:sz w:val="16"/>
                <w:szCs w:val="16"/>
              </w:rPr>
              <w:t>NON RILEVATO</w:t>
            </w:r>
          </w:p>
        </w:tc>
        <w:tc>
          <w:tcPr>
            <w:tcW w:w="1349" w:type="pct"/>
            <w:vAlign w:val="center"/>
          </w:tcPr>
          <w:p w:rsidR="00C12B14" w:rsidRPr="007D2CA8" w:rsidRDefault="00C12B14" w:rsidP="005C4253">
            <w:pPr>
              <w:rPr>
                <w:rFonts w:ascii="Garamond" w:hAnsi="Garamond"/>
                <w:i/>
                <w:iCs/>
                <w:color w:val="000000"/>
                <w:spacing w:val="-4"/>
                <w:sz w:val="16"/>
                <w:szCs w:val="16"/>
              </w:rPr>
            </w:pPr>
            <w:r w:rsidRPr="007D2CA8">
              <w:rPr>
                <w:rFonts w:ascii="Garamond" w:hAnsi="Garamond"/>
                <w:i/>
                <w:iCs/>
                <w:color w:val="000000"/>
                <w:spacing w:val="-4"/>
                <w:sz w:val="16"/>
                <w:szCs w:val="16"/>
              </w:rPr>
              <w:t>Interruzione di forniture</w:t>
            </w:r>
          </w:p>
        </w:tc>
      </w:tr>
      <w:tr w:rsidR="00C12B14" w:rsidRPr="007D2CA8" w:rsidTr="005C4253">
        <w:trPr>
          <w:trHeight w:val="454"/>
        </w:trPr>
        <w:tc>
          <w:tcPr>
            <w:tcW w:w="196" w:type="pct"/>
            <w:vAlign w:val="center"/>
          </w:tcPr>
          <w:p w:rsidR="00C12B14" w:rsidRPr="007D2CA8" w:rsidRDefault="00C12B14" w:rsidP="005C4253">
            <w:pPr>
              <w:jc w:val="center"/>
              <w:rPr>
                <w:rFonts w:ascii="Garamond" w:hAnsi="Garamond"/>
                <w:color w:val="000000"/>
                <w:spacing w:val="-4"/>
                <w:sz w:val="16"/>
                <w:szCs w:val="16"/>
              </w:rPr>
            </w:pPr>
            <w:r w:rsidRPr="007D2CA8">
              <w:rPr>
                <w:rFonts w:ascii="Garamond" w:hAnsi="Garamond"/>
                <w:color w:val="000000"/>
                <w:spacing w:val="-4"/>
                <w:sz w:val="16"/>
                <w:szCs w:val="16"/>
              </w:rPr>
              <w:t>14</w:t>
            </w:r>
          </w:p>
        </w:tc>
        <w:tc>
          <w:tcPr>
            <w:tcW w:w="339" w:type="pct"/>
            <w:noWrap/>
            <w:vAlign w:val="center"/>
          </w:tcPr>
          <w:p w:rsidR="00C12B14" w:rsidRPr="007D2CA8" w:rsidRDefault="00C12B14" w:rsidP="005C4253">
            <w:pPr>
              <w:jc w:val="center"/>
              <w:rPr>
                <w:rFonts w:ascii="Garamond" w:hAnsi="Garamond"/>
                <w:color w:val="000000"/>
                <w:spacing w:val="-4"/>
                <w:sz w:val="16"/>
                <w:szCs w:val="16"/>
              </w:rPr>
            </w:pPr>
            <w:r w:rsidRPr="007D2CA8">
              <w:rPr>
                <w:rFonts w:ascii="Garamond" w:hAnsi="Garamond"/>
                <w:color w:val="000000"/>
                <w:spacing w:val="-4"/>
                <w:sz w:val="16"/>
                <w:szCs w:val="16"/>
              </w:rPr>
              <w:t>IG.3</w:t>
            </w:r>
          </w:p>
        </w:tc>
        <w:tc>
          <w:tcPr>
            <w:tcW w:w="1728" w:type="pct"/>
            <w:vAlign w:val="center"/>
          </w:tcPr>
          <w:p w:rsidR="00C12B14" w:rsidRPr="007D2CA8" w:rsidRDefault="00C12B14" w:rsidP="005C4253">
            <w:pPr>
              <w:rPr>
                <w:rFonts w:ascii="Garamond" w:hAnsi="Garamond"/>
                <w:color w:val="000000"/>
                <w:spacing w:val="-4"/>
                <w:sz w:val="16"/>
                <w:szCs w:val="16"/>
              </w:rPr>
            </w:pPr>
            <w:r w:rsidRPr="007D2CA8">
              <w:rPr>
                <w:rFonts w:ascii="Garamond" w:hAnsi="Garamond"/>
                <w:color w:val="000000"/>
                <w:spacing w:val="-4"/>
                <w:sz w:val="16"/>
                <w:szCs w:val="16"/>
              </w:rPr>
              <w:t>Difficoltà nell’organico del personale o diff</w:t>
            </w:r>
            <w:r w:rsidRPr="007D2CA8">
              <w:rPr>
                <w:rFonts w:ascii="Garamond" w:hAnsi="Garamond"/>
                <w:color w:val="000000"/>
                <w:spacing w:val="-4"/>
                <w:sz w:val="16"/>
                <w:szCs w:val="16"/>
              </w:rPr>
              <w:t>i</w:t>
            </w:r>
            <w:r w:rsidRPr="007D2CA8">
              <w:rPr>
                <w:rFonts w:ascii="Garamond" w:hAnsi="Garamond"/>
                <w:color w:val="000000"/>
                <w:spacing w:val="-4"/>
                <w:sz w:val="16"/>
                <w:szCs w:val="16"/>
              </w:rPr>
              <w:t>coltà nel mantenere il normale flusso di a</w:t>
            </w:r>
            <w:r w:rsidRPr="007D2CA8">
              <w:rPr>
                <w:rFonts w:ascii="Garamond" w:hAnsi="Garamond"/>
                <w:color w:val="000000"/>
                <w:spacing w:val="-4"/>
                <w:sz w:val="16"/>
                <w:szCs w:val="16"/>
              </w:rPr>
              <w:t>p</w:t>
            </w:r>
            <w:r w:rsidRPr="007D2CA8">
              <w:rPr>
                <w:rFonts w:ascii="Garamond" w:hAnsi="Garamond"/>
                <w:color w:val="000000"/>
                <w:spacing w:val="-4"/>
                <w:sz w:val="16"/>
                <w:szCs w:val="16"/>
              </w:rPr>
              <w:t>provvigionamento da importanti fornit</w:t>
            </w:r>
            <w:r w:rsidRPr="007D2CA8">
              <w:rPr>
                <w:rFonts w:ascii="Garamond" w:hAnsi="Garamond"/>
                <w:color w:val="000000"/>
                <w:spacing w:val="-4"/>
                <w:sz w:val="16"/>
                <w:szCs w:val="16"/>
              </w:rPr>
              <w:t>o</w:t>
            </w:r>
            <w:r w:rsidRPr="007D2CA8">
              <w:rPr>
                <w:rFonts w:ascii="Garamond" w:hAnsi="Garamond"/>
                <w:color w:val="000000"/>
                <w:spacing w:val="-4"/>
                <w:sz w:val="16"/>
                <w:szCs w:val="16"/>
              </w:rPr>
              <w:t>ri.</w:t>
            </w:r>
          </w:p>
        </w:tc>
        <w:tc>
          <w:tcPr>
            <w:tcW w:w="1387" w:type="pct"/>
            <w:vAlign w:val="center"/>
          </w:tcPr>
          <w:p w:rsidR="00C12B14" w:rsidRPr="007D2CA8" w:rsidRDefault="00C12B14" w:rsidP="005C4253">
            <w:pPr>
              <w:rPr>
                <w:rFonts w:ascii="Garamond" w:hAnsi="Garamond"/>
                <w:i/>
                <w:iCs/>
                <w:color w:val="000000"/>
                <w:spacing w:val="-4"/>
                <w:sz w:val="16"/>
                <w:szCs w:val="16"/>
              </w:rPr>
            </w:pPr>
            <w:r w:rsidRPr="007D2CA8">
              <w:rPr>
                <w:rFonts w:ascii="Garamond" w:hAnsi="Garamond"/>
                <w:i/>
                <w:iCs/>
                <w:color w:val="000000"/>
                <w:spacing w:val="-4"/>
                <w:sz w:val="16"/>
                <w:szCs w:val="16"/>
              </w:rPr>
              <w:t xml:space="preserve">NON RILEVATO </w:t>
            </w:r>
          </w:p>
        </w:tc>
        <w:tc>
          <w:tcPr>
            <w:tcW w:w="1349" w:type="pct"/>
            <w:vAlign w:val="center"/>
          </w:tcPr>
          <w:p w:rsidR="00C12B14" w:rsidRPr="007D2CA8" w:rsidRDefault="00C12B14" w:rsidP="005C4253">
            <w:pPr>
              <w:rPr>
                <w:rFonts w:ascii="Garamond" w:hAnsi="Garamond"/>
                <w:i/>
                <w:iCs/>
                <w:color w:val="000000"/>
                <w:spacing w:val="-4"/>
                <w:sz w:val="16"/>
                <w:szCs w:val="16"/>
              </w:rPr>
            </w:pPr>
            <w:r w:rsidRPr="007D2CA8">
              <w:rPr>
                <w:rFonts w:ascii="Garamond" w:hAnsi="Garamond"/>
                <w:i/>
                <w:iCs/>
                <w:color w:val="000000"/>
                <w:spacing w:val="-4"/>
                <w:sz w:val="16"/>
                <w:szCs w:val="16"/>
              </w:rPr>
              <w:t xml:space="preserve">NON RILEVATO </w:t>
            </w:r>
          </w:p>
        </w:tc>
      </w:tr>
      <w:tr w:rsidR="00C12B14" w:rsidRPr="007D2CA8" w:rsidTr="005C4253">
        <w:trPr>
          <w:trHeight w:val="454"/>
        </w:trPr>
        <w:tc>
          <w:tcPr>
            <w:tcW w:w="196" w:type="pct"/>
            <w:tcBorders>
              <w:left w:val="nil"/>
              <w:right w:val="nil"/>
            </w:tcBorders>
            <w:vAlign w:val="center"/>
          </w:tcPr>
          <w:p w:rsidR="00C12B14" w:rsidRPr="007D2CA8" w:rsidRDefault="00C12B14" w:rsidP="005C4253">
            <w:pPr>
              <w:jc w:val="center"/>
              <w:rPr>
                <w:rFonts w:ascii="Garamond" w:hAnsi="Garamond"/>
                <w:b/>
                <w:bCs/>
                <w:color w:val="000000"/>
                <w:spacing w:val="-4"/>
                <w:sz w:val="16"/>
                <w:szCs w:val="16"/>
              </w:rPr>
            </w:pPr>
          </w:p>
        </w:tc>
        <w:tc>
          <w:tcPr>
            <w:tcW w:w="339" w:type="pct"/>
            <w:tcBorders>
              <w:left w:val="nil"/>
              <w:right w:val="nil"/>
            </w:tcBorders>
            <w:noWrap/>
            <w:vAlign w:val="center"/>
          </w:tcPr>
          <w:p w:rsidR="00C12B14" w:rsidRPr="007D2CA8" w:rsidRDefault="00C12B14" w:rsidP="005C4253">
            <w:pPr>
              <w:jc w:val="center"/>
              <w:rPr>
                <w:rFonts w:ascii="Garamond" w:hAnsi="Garamond"/>
                <w:b/>
                <w:bCs/>
                <w:color w:val="000000"/>
                <w:spacing w:val="-4"/>
                <w:sz w:val="16"/>
                <w:szCs w:val="16"/>
              </w:rPr>
            </w:pPr>
          </w:p>
        </w:tc>
        <w:tc>
          <w:tcPr>
            <w:tcW w:w="1728" w:type="pct"/>
            <w:tcBorders>
              <w:left w:val="nil"/>
              <w:right w:val="nil"/>
            </w:tcBorders>
            <w:vAlign w:val="center"/>
          </w:tcPr>
          <w:p w:rsidR="00C12B14" w:rsidRPr="007D2CA8" w:rsidRDefault="00C12B14" w:rsidP="005C4253">
            <w:pPr>
              <w:rPr>
                <w:rFonts w:ascii="Garamond" w:hAnsi="Garamond"/>
                <w:b/>
                <w:bCs/>
                <w:i/>
                <w:iCs/>
                <w:color w:val="000000"/>
                <w:spacing w:val="-4"/>
                <w:sz w:val="16"/>
                <w:szCs w:val="16"/>
              </w:rPr>
            </w:pPr>
            <w:r w:rsidRPr="007D2CA8">
              <w:rPr>
                <w:rFonts w:ascii="Garamond" w:hAnsi="Garamond"/>
                <w:b/>
                <w:bCs/>
                <w:iCs/>
                <w:smallCaps/>
                <w:color w:val="000000"/>
                <w:spacing w:val="-4"/>
                <w:sz w:val="16"/>
                <w:szCs w:val="16"/>
              </w:rPr>
              <w:t>Altri indicatori</w:t>
            </w:r>
          </w:p>
        </w:tc>
        <w:tc>
          <w:tcPr>
            <w:tcW w:w="1387" w:type="pct"/>
            <w:tcBorders>
              <w:left w:val="nil"/>
              <w:right w:val="nil"/>
            </w:tcBorders>
            <w:vAlign w:val="center"/>
          </w:tcPr>
          <w:p w:rsidR="00C12B14" w:rsidRPr="007D2CA8" w:rsidRDefault="00C12B14" w:rsidP="005C4253">
            <w:pPr>
              <w:rPr>
                <w:rFonts w:ascii="Garamond" w:hAnsi="Garamond"/>
                <w:b/>
                <w:bCs/>
                <w:i/>
                <w:iCs/>
                <w:color w:val="000000"/>
                <w:spacing w:val="-4"/>
                <w:sz w:val="16"/>
                <w:szCs w:val="16"/>
              </w:rPr>
            </w:pPr>
          </w:p>
        </w:tc>
        <w:tc>
          <w:tcPr>
            <w:tcW w:w="1349" w:type="pct"/>
            <w:tcBorders>
              <w:left w:val="nil"/>
              <w:right w:val="nil"/>
            </w:tcBorders>
            <w:vAlign w:val="center"/>
          </w:tcPr>
          <w:p w:rsidR="00C12B14" w:rsidRPr="007D2CA8" w:rsidRDefault="00C12B14" w:rsidP="005C4253">
            <w:pPr>
              <w:rPr>
                <w:rFonts w:ascii="Garamond" w:hAnsi="Garamond"/>
                <w:b/>
                <w:bCs/>
                <w:i/>
                <w:iCs/>
                <w:color w:val="000000"/>
                <w:spacing w:val="-4"/>
                <w:sz w:val="16"/>
                <w:szCs w:val="16"/>
              </w:rPr>
            </w:pPr>
          </w:p>
        </w:tc>
      </w:tr>
      <w:tr w:rsidR="00C12B14" w:rsidRPr="007D2CA8" w:rsidTr="005C4253">
        <w:trPr>
          <w:trHeight w:val="454"/>
        </w:trPr>
        <w:tc>
          <w:tcPr>
            <w:tcW w:w="196" w:type="pct"/>
            <w:vAlign w:val="center"/>
          </w:tcPr>
          <w:p w:rsidR="00C12B14" w:rsidRPr="007D2CA8" w:rsidRDefault="00C12B14" w:rsidP="005C4253">
            <w:pPr>
              <w:jc w:val="center"/>
              <w:rPr>
                <w:rFonts w:ascii="Garamond" w:hAnsi="Garamond"/>
                <w:color w:val="000000"/>
                <w:spacing w:val="-4"/>
                <w:sz w:val="16"/>
                <w:szCs w:val="16"/>
              </w:rPr>
            </w:pPr>
            <w:r w:rsidRPr="007D2CA8">
              <w:rPr>
                <w:rFonts w:ascii="Garamond" w:hAnsi="Garamond"/>
                <w:color w:val="000000"/>
                <w:spacing w:val="-4"/>
                <w:sz w:val="16"/>
                <w:szCs w:val="16"/>
              </w:rPr>
              <w:t>15</w:t>
            </w:r>
          </w:p>
        </w:tc>
        <w:tc>
          <w:tcPr>
            <w:tcW w:w="339" w:type="pct"/>
            <w:noWrap/>
            <w:vAlign w:val="center"/>
          </w:tcPr>
          <w:p w:rsidR="00C12B14" w:rsidRPr="007D2CA8" w:rsidRDefault="00C12B14" w:rsidP="005C4253">
            <w:pPr>
              <w:jc w:val="center"/>
              <w:rPr>
                <w:rFonts w:ascii="Garamond" w:hAnsi="Garamond"/>
                <w:color w:val="000000"/>
                <w:spacing w:val="-4"/>
                <w:sz w:val="16"/>
                <w:szCs w:val="16"/>
              </w:rPr>
            </w:pPr>
            <w:r w:rsidRPr="007D2CA8">
              <w:rPr>
                <w:rFonts w:ascii="Garamond" w:hAnsi="Garamond"/>
                <w:color w:val="000000"/>
                <w:spacing w:val="-4"/>
                <w:sz w:val="16"/>
                <w:szCs w:val="16"/>
              </w:rPr>
              <w:t>AI.1</w:t>
            </w:r>
          </w:p>
        </w:tc>
        <w:tc>
          <w:tcPr>
            <w:tcW w:w="1728" w:type="pct"/>
            <w:vAlign w:val="center"/>
          </w:tcPr>
          <w:p w:rsidR="00C12B14" w:rsidRPr="007D2CA8" w:rsidRDefault="00C12B14" w:rsidP="005C4253">
            <w:pPr>
              <w:rPr>
                <w:rFonts w:ascii="Garamond" w:hAnsi="Garamond"/>
                <w:color w:val="000000"/>
                <w:spacing w:val="-4"/>
                <w:sz w:val="16"/>
                <w:szCs w:val="16"/>
              </w:rPr>
            </w:pPr>
            <w:r w:rsidRPr="007D2CA8">
              <w:rPr>
                <w:rFonts w:ascii="Garamond" w:hAnsi="Garamond"/>
                <w:color w:val="000000"/>
                <w:spacing w:val="-4"/>
                <w:sz w:val="16"/>
                <w:szCs w:val="16"/>
              </w:rPr>
              <w:t>Capitale ridotto al di sotto dei limiti legali o non conformità ad altre norme di legge;</w:t>
            </w:r>
          </w:p>
        </w:tc>
        <w:tc>
          <w:tcPr>
            <w:tcW w:w="1387" w:type="pct"/>
            <w:vAlign w:val="center"/>
          </w:tcPr>
          <w:p w:rsidR="00C12B14" w:rsidRPr="007D2CA8" w:rsidRDefault="00C12B14" w:rsidP="005C4253">
            <w:pPr>
              <w:rPr>
                <w:rFonts w:ascii="Garamond" w:hAnsi="Garamond"/>
                <w:i/>
                <w:iCs/>
                <w:color w:val="000000"/>
                <w:spacing w:val="-4"/>
                <w:sz w:val="16"/>
                <w:szCs w:val="16"/>
              </w:rPr>
            </w:pPr>
            <w:r w:rsidRPr="007D2CA8">
              <w:rPr>
                <w:rFonts w:ascii="Garamond" w:hAnsi="Garamond"/>
                <w:i/>
                <w:iCs/>
                <w:color w:val="000000"/>
                <w:spacing w:val="-4"/>
                <w:sz w:val="16"/>
                <w:szCs w:val="16"/>
              </w:rPr>
              <w:t>Ricorrenza delle condizioni previste dagli artt. 2446 – 2447 del codice civile (ind</w:t>
            </w:r>
            <w:r w:rsidRPr="007D2CA8">
              <w:rPr>
                <w:rFonts w:ascii="Garamond" w:hAnsi="Garamond"/>
                <w:i/>
                <w:iCs/>
                <w:color w:val="000000"/>
                <w:spacing w:val="-4"/>
                <w:sz w:val="16"/>
                <w:szCs w:val="16"/>
              </w:rPr>
              <w:t>i</w:t>
            </w:r>
            <w:r w:rsidRPr="007D2CA8">
              <w:rPr>
                <w:rFonts w:ascii="Garamond" w:hAnsi="Garamond"/>
                <w:i/>
                <w:iCs/>
                <w:color w:val="000000"/>
                <w:spacing w:val="-4"/>
                <w:sz w:val="16"/>
                <w:szCs w:val="16"/>
              </w:rPr>
              <w:t>cazione valore)</w:t>
            </w:r>
          </w:p>
        </w:tc>
        <w:tc>
          <w:tcPr>
            <w:tcW w:w="1349" w:type="pct"/>
            <w:vAlign w:val="center"/>
          </w:tcPr>
          <w:p w:rsidR="00C12B14" w:rsidRPr="007D2CA8" w:rsidRDefault="00C12B14" w:rsidP="005C4253">
            <w:pPr>
              <w:rPr>
                <w:rFonts w:ascii="Garamond" w:hAnsi="Garamond"/>
                <w:i/>
                <w:iCs/>
                <w:color w:val="000000"/>
                <w:spacing w:val="-4"/>
                <w:sz w:val="16"/>
                <w:szCs w:val="16"/>
              </w:rPr>
            </w:pPr>
            <w:r w:rsidRPr="007D2CA8">
              <w:rPr>
                <w:rFonts w:ascii="Garamond" w:hAnsi="Garamond"/>
                <w:i/>
                <w:iCs/>
                <w:color w:val="000000"/>
                <w:spacing w:val="-4"/>
                <w:sz w:val="16"/>
                <w:szCs w:val="16"/>
              </w:rPr>
              <w:t>Ricorrenza delle condizioni previste dagli artt. 2446 – 2447 del codice civile (senza indicazione del valore)</w:t>
            </w:r>
          </w:p>
        </w:tc>
      </w:tr>
      <w:tr w:rsidR="00C12B14" w:rsidRPr="007D2CA8" w:rsidTr="005C4253">
        <w:trPr>
          <w:trHeight w:val="454"/>
        </w:trPr>
        <w:tc>
          <w:tcPr>
            <w:tcW w:w="196" w:type="pct"/>
            <w:vAlign w:val="center"/>
          </w:tcPr>
          <w:p w:rsidR="00C12B14" w:rsidRPr="007D2CA8" w:rsidRDefault="00C12B14" w:rsidP="005C4253">
            <w:pPr>
              <w:jc w:val="center"/>
              <w:rPr>
                <w:rFonts w:ascii="Garamond" w:hAnsi="Garamond"/>
                <w:color w:val="000000"/>
                <w:spacing w:val="-4"/>
                <w:sz w:val="16"/>
                <w:szCs w:val="16"/>
              </w:rPr>
            </w:pPr>
            <w:r w:rsidRPr="007D2CA8">
              <w:rPr>
                <w:rFonts w:ascii="Garamond" w:hAnsi="Garamond"/>
                <w:color w:val="000000"/>
                <w:spacing w:val="-4"/>
                <w:sz w:val="16"/>
                <w:szCs w:val="16"/>
              </w:rPr>
              <w:t>16</w:t>
            </w:r>
          </w:p>
        </w:tc>
        <w:tc>
          <w:tcPr>
            <w:tcW w:w="339" w:type="pct"/>
            <w:noWrap/>
            <w:vAlign w:val="center"/>
          </w:tcPr>
          <w:p w:rsidR="00C12B14" w:rsidRPr="007D2CA8" w:rsidRDefault="00C12B14" w:rsidP="005C4253">
            <w:pPr>
              <w:jc w:val="center"/>
              <w:rPr>
                <w:rFonts w:ascii="Garamond" w:hAnsi="Garamond"/>
                <w:color w:val="000000"/>
                <w:spacing w:val="-4"/>
                <w:sz w:val="16"/>
                <w:szCs w:val="16"/>
              </w:rPr>
            </w:pPr>
            <w:r w:rsidRPr="007D2CA8">
              <w:rPr>
                <w:rFonts w:ascii="Garamond" w:hAnsi="Garamond"/>
                <w:color w:val="000000"/>
                <w:spacing w:val="-4"/>
                <w:sz w:val="16"/>
                <w:szCs w:val="16"/>
              </w:rPr>
              <w:t>AI.2</w:t>
            </w:r>
          </w:p>
        </w:tc>
        <w:tc>
          <w:tcPr>
            <w:tcW w:w="1728" w:type="pct"/>
            <w:vAlign w:val="center"/>
          </w:tcPr>
          <w:p w:rsidR="00C12B14" w:rsidRPr="007D2CA8" w:rsidRDefault="00C12B14" w:rsidP="005C4253">
            <w:pPr>
              <w:rPr>
                <w:rFonts w:ascii="Garamond" w:hAnsi="Garamond"/>
                <w:color w:val="000000"/>
                <w:spacing w:val="-4"/>
                <w:sz w:val="16"/>
                <w:szCs w:val="16"/>
              </w:rPr>
            </w:pPr>
            <w:r w:rsidRPr="007D2CA8">
              <w:rPr>
                <w:rFonts w:ascii="Garamond" w:hAnsi="Garamond"/>
                <w:color w:val="000000"/>
                <w:spacing w:val="-4"/>
                <w:sz w:val="16"/>
                <w:szCs w:val="16"/>
              </w:rPr>
              <w:t>Contenziosi legali e fiscali che, in caso di soccombenza, potrebbero comportare obbl</w:t>
            </w:r>
            <w:r w:rsidRPr="007D2CA8">
              <w:rPr>
                <w:rFonts w:ascii="Garamond" w:hAnsi="Garamond"/>
                <w:color w:val="000000"/>
                <w:spacing w:val="-4"/>
                <w:sz w:val="16"/>
                <w:szCs w:val="16"/>
              </w:rPr>
              <w:t>i</w:t>
            </w:r>
            <w:r w:rsidRPr="007D2CA8">
              <w:rPr>
                <w:rFonts w:ascii="Garamond" w:hAnsi="Garamond"/>
                <w:color w:val="000000"/>
                <w:spacing w:val="-4"/>
                <w:sz w:val="16"/>
                <w:szCs w:val="16"/>
              </w:rPr>
              <w:t>ghi di risarcimento che l’impresa non è in grado di rispettare;</w:t>
            </w:r>
          </w:p>
        </w:tc>
        <w:tc>
          <w:tcPr>
            <w:tcW w:w="1387" w:type="pct"/>
            <w:vAlign w:val="center"/>
          </w:tcPr>
          <w:p w:rsidR="00C12B14" w:rsidRPr="007D2CA8" w:rsidRDefault="00C12B14" w:rsidP="005C4253">
            <w:pPr>
              <w:rPr>
                <w:rFonts w:ascii="Garamond" w:hAnsi="Garamond"/>
                <w:i/>
                <w:iCs/>
                <w:color w:val="000000"/>
                <w:spacing w:val="-4"/>
                <w:sz w:val="16"/>
                <w:szCs w:val="16"/>
              </w:rPr>
            </w:pPr>
            <w:r w:rsidRPr="007D2CA8">
              <w:rPr>
                <w:rFonts w:ascii="Garamond" w:hAnsi="Garamond"/>
                <w:i/>
                <w:iCs/>
                <w:color w:val="000000"/>
                <w:spacing w:val="-4"/>
                <w:sz w:val="16"/>
                <w:szCs w:val="16"/>
              </w:rPr>
              <w:t>Indicazione di contenziosi in corso (indic</w:t>
            </w:r>
            <w:r w:rsidRPr="007D2CA8">
              <w:rPr>
                <w:rFonts w:ascii="Garamond" w:hAnsi="Garamond"/>
                <w:i/>
                <w:iCs/>
                <w:color w:val="000000"/>
                <w:spacing w:val="-4"/>
                <w:sz w:val="16"/>
                <w:szCs w:val="16"/>
              </w:rPr>
              <w:t>a</w:t>
            </w:r>
            <w:r w:rsidRPr="007D2CA8">
              <w:rPr>
                <w:rFonts w:ascii="Garamond" w:hAnsi="Garamond"/>
                <w:i/>
                <w:iCs/>
                <w:color w:val="000000"/>
                <w:spacing w:val="-4"/>
                <w:sz w:val="16"/>
                <w:szCs w:val="16"/>
              </w:rPr>
              <w:t>zione valore)</w:t>
            </w:r>
          </w:p>
        </w:tc>
        <w:tc>
          <w:tcPr>
            <w:tcW w:w="1349" w:type="pct"/>
            <w:vAlign w:val="center"/>
          </w:tcPr>
          <w:p w:rsidR="00C12B14" w:rsidRPr="007D2CA8" w:rsidRDefault="00C12B14" w:rsidP="005C4253">
            <w:pPr>
              <w:rPr>
                <w:rFonts w:ascii="Garamond" w:hAnsi="Garamond"/>
                <w:i/>
                <w:iCs/>
                <w:color w:val="000000"/>
                <w:spacing w:val="-4"/>
                <w:sz w:val="16"/>
                <w:szCs w:val="16"/>
              </w:rPr>
            </w:pPr>
            <w:r w:rsidRPr="007D2CA8">
              <w:rPr>
                <w:rFonts w:ascii="Garamond" w:hAnsi="Garamond"/>
                <w:i/>
                <w:iCs/>
                <w:color w:val="000000"/>
                <w:spacing w:val="-4"/>
                <w:sz w:val="16"/>
                <w:szCs w:val="16"/>
              </w:rPr>
              <w:t>Indicazione di contenziosi in co</w:t>
            </w:r>
            <w:r w:rsidRPr="007D2CA8">
              <w:rPr>
                <w:rFonts w:ascii="Garamond" w:hAnsi="Garamond"/>
                <w:i/>
                <w:iCs/>
                <w:color w:val="000000"/>
                <w:spacing w:val="-4"/>
                <w:sz w:val="16"/>
                <w:szCs w:val="16"/>
              </w:rPr>
              <w:t>r</w:t>
            </w:r>
            <w:r w:rsidRPr="007D2CA8">
              <w:rPr>
                <w:rFonts w:ascii="Garamond" w:hAnsi="Garamond"/>
                <w:i/>
                <w:iCs/>
                <w:color w:val="000000"/>
                <w:spacing w:val="-4"/>
                <w:sz w:val="16"/>
                <w:szCs w:val="16"/>
              </w:rPr>
              <w:t>so(senza indicazione del valore)</w:t>
            </w:r>
          </w:p>
        </w:tc>
      </w:tr>
      <w:tr w:rsidR="00C12B14" w:rsidRPr="007D2CA8" w:rsidTr="005C4253">
        <w:trPr>
          <w:trHeight w:val="454"/>
        </w:trPr>
        <w:tc>
          <w:tcPr>
            <w:tcW w:w="196" w:type="pct"/>
            <w:vAlign w:val="center"/>
          </w:tcPr>
          <w:p w:rsidR="00C12B14" w:rsidRPr="007D2CA8" w:rsidRDefault="00C12B14" w:rsidP="005C4253">
            <w:pPr>
              <w:jc w:val="center"/>
              <w:rPr>
                <w:rFonts w:ascii="Garamond" w:hAnsi="Garamond"/>
                <w:color w:val="000000"/>
                <w:spacing w:val="-4"/>
                <w:sz w:val="16"/>
                <w:szCs w:val="16"/>
              </w:rPr>
            </w:pPr>
            <w:r w:rsidRPr="007D2CA8">
              <w:rPr>
                <w:rFonts w:ascii="Garamond" w:hAnsi="Garamond"/>
                <w:color w:val="000000"/>
                <w:spacing w:val="-4"/>
                <w:sz w:val="16"/>
                <w:szCs w:val="16"/>
              </w:rPr>
              <w:t>17</w:t>
            </w:r>
          </w:p>
        </w:tc>
        <w:tc>
          <w:tcPr>
            <w:tcW w:w="339" w:type="pct"/>
            <w:noWrap/>
            <w:vAlign w:val="center"/>
          </w:tcPr>
          <w:p w:rsidR="00C12B14" w:rsidRPr="007D2CA8" w:rsidRDefault="00C12B14" w:rsidP="005C4253">
            <w:pPr>
              <w:jc w:val="center"/>
              <w:rPr>
                <w:rFonts w:ascii="Garamond" w:hAnsi="Garamond"/>
                <w:color w:val="000000"/>
                <w:spacing w:val="-4"/>
                <w:sz w:val="16"/>
                <w:szCs w:val="16"/>
              </w:rPr>
            </w:pPr>
            <w:r w:rsidRPr="007D2CA8">
              <w:rPr>
                <w:rFonts w:ascii="Garamond" w:hAnsi="Garamond"/>
                <w:color w:val="000000"/>
                <w:spacing w:val="-4"/>
                <w:sz w:val="16"/>
                <w:szCs w:val="16"/>
              </w:rPr>
              <w:t>AI.3</w:t>
            </w:r>
          </w:p>
        </w:tc>
        <w:tc>
          <w:tcPr>
            <w:tcW w:w="1728" w:type="pct"/>
            <w:vAlign w:val="center"/>
          </w:tcPr>
          <w:p w:rsidR="00C12B14" w:rsidRPr="007D2CA8" w:rsidRDefault="00C12B14" w:rsidP="005C4253">
            <w:pPr>
              <w:rPr>
                <w:rFonts w:ascii="Garamond" w:hAnsi="Garamond"/>
                <w:color w:val="000000"/>
                <w:spacing w:val="-4"/>
                <w:sz w:val="16"/>
                <w:szCs w:val="16"/>
              </w:rPr>
            </w:pPr>
            <w:r w:rsidRPr="007D2CA8">
              <w:rPr>
                <w:rFonts w:ascii="Garamond" w:hAnsi="Garamond"/>
                <w:color w:val="000000"/>
                <w:spacing w:val="-4"/>
                <w:sz w:val="16"/>
                <w:szCs w:val="16"/>
              </w:rPr>
              <w:t>Modifiche legislative o politiche governat</w:t>
            </w:r>
            <w:r w:rsidRPr="007D2CA8">
              <w:rPr>
                <w:rFonts w:ascii="Garamond" w:hAnsi="Garamond"/>
                <w:color w:val="000000"/>
                <w:spacing w:val="-4"/>
                <w:sz w:val="16"/>
                <w:szCs w:val="16"/>
              </w:rPr>
              <w:t>i</w:t>
            </w:r>
            <w:r w:rsidRPr="007D2CA8">
              <w:rPr>
                <w:rFonts w:ascii="Garamond" w:hAnsi="Garamond"/>
                <w:color w:val="000000"/>
                <w:spacing w:val="-4"/>
                <w:sz w:val="16"/>
                <w:szCs w:val="16"/>
              </w:rPr>
              <w:t>ve dalle quali si attendono effetti sfavor</w:t>
            </w:r>
            <w:r w:rsidRPr="007D2CA8">
              <w:rPr>
                <w:rFonts w:ascii="Garamond" w:hAnsi="Garamond"/>
                <w:color w:val="000000"/>
                <w:spacing w:val="-4"/>
                <w:sz w:val="16"/>
                <w:szCs w:val="16"/>
              </w:rPr>
              <w:t>e</w:t>
            </w:r>
            <w:r w:rsidRPr="007D2CA8">
              <w:rPr>
                <w:rFonts w:ascii="Garamond" w:hAnsi="Garamond"/>
                <w:color w:val="000000"/>
                <w:spacing w:val="-4"/>
                <w:sz w:val="16"/>
                <w:szCs w:val="16"/>
              </w:rPr>
              <w:t>voli all’impresa.</w:t>
            </w:r>
          </w:p>
        </w:tc>
        <w:tc>
          <w:tcPr>
            <w:tcW w:w="1387" w:type="pct"/>
            <w:vAlign w:val="center"/>
          </w:tcPr>
          <w:p w:rsidR="00C12B14" w:rsidRPr="007D2CA8" w:rsidRDefault="00C12B14" w:rsidP="005C4253">
            <w:pPr>
              <w:rPr>
                <w:rFonts w:ascii="Garamond" w:hAnsi="Garamond"/>
                <w:i/>
                <w:iCs/>
                <w:color w:val="000000"/>
                <w:spacing w:val="-4"/>
                <w:sz w:val="16"/>
                <w:szCs w:val="16"/>
              </w:rPr>
            </w:pPr>
            <w:r w:rsidRPr="007D2CA8">
              <w:rPr>
                <w:rFonts w:ascii="Garamond" w:hAnsi="Garamond"/>
                <w:i/>
                <w:iCs/>
                <w:color w:val="000000"/>
                <w:spacing w:val="-4"/>
                <w:sz w:val="16"/>
                <w:szCs w:val="16"/>
              </w:rPr>
              <w:t xml:space="preserve">NON RILEVATO </w:t>
            </w:r>
          </w:p>
        </w:tc>
        <w:tc>
          <w:tcPr>
            <w:tcW w:w="1349" w:type="pct"/>
            <w:vAlign w:val="center"/>
          </w:tcPr>
          <w:p w:rsidR="00C12B14" w:rsidRPr="007D2CA8" w:rsidRDefault="00C12B14" w:rsidP="005C4253">
            <w:pPr>
              <w:rPr>
                <w:rFonts w:ascii="Garamond" w:hAnsi="Garamond"/>
                <w:i/>
                <w:iCs/>
                <w:color w:val="000000"/>
                <w:spacing w:val="-4"/>
                <w:sz w:val="16"/>
                <w:szCs w:val="16"/>
              </w:rPr>
            </w:pPr>
            <w:r w:rsidRPr="007D2CA8">
              <w:rPr>
                <w:rFonts w:ascii="Garamond" w:hAnsi="Garamond"/>
                <w:i/>
                <w:iCs/>
                <w:color w:val="000000"/>
                <w:spacing w:val="-4"/>
                <w:sz w:val="16"/>
                <w:szCs w:val="16"/>
              </w:rPr>
              <w:t xml:space="preserve">NON RILEVATO </w:t>
            </w:r>
          </w:p>
        </w:tc>
      </w:tr>
    </w:tbl>
    <w:p w:rsidR="00024F4F" w:rsidRPr="007D2CA8" w:rsidRDefault="00024F4F" w:rsidP="005B7C49">
      <w:pPr>
        <w:pStyle w:val="ASottotitoloNumerato"/>
        <w:widowControl/>
        <w:rPr>
          <w:spacing w:val="-4"/>
        </w:rPr>
      </w:pPr>
      <w:r w:rsidRPr="007D2CA8">
        <w:rPr>
          <w:spacing w:val="-4"/>
        </w:rPr>
        <w:t>I risultati dell’indagine empirica</w:t>
      </w:r>
    </w:p>
    <w:p w:rsidR="00024F4F" w:rsidRPr="007D2CA8" w:rsidRDefault="00024F4F" w:rsidP="005B7C49">
      <w:pPr>
        <w:pStyle w:val="ATesto"/>
        <w:widowControl/>
        <w:rPr>
          <w:noProof/>
          <w:spacing w:val="-4"/>
          <w:lang w:val="it-IT"/>
        </w:rPr>
      </w:pPr>
      <w:r w:rsidRPr="007D2CA8">
        <w:rPr>
          <w:noProof/>
          <w:spacing w:val="-4"/>
          <w:lang w:val="it-IT"/>
        </w:rPr>
        <w:t>L’analisi condotta ha evidenziato che dei 17 indicatori individuati dal Principio di revisione n. 570, quattro di questi non risultano mai descritti. In particolare, come si evince dalla Tabella 1, sono quelli relativi a:</w:t>
      </w:r>
    </w:p>
    <w:p w:rsidR="00024F4F" w:rsidRPr="007D2CA8" w:rsidRDefault="00024F4F" w:rsidP="005B7C49">
      <w:pPr>
        <w:pStyle w:val="AElencoTrattini"/>
        <w:widowControl/>
        <w:rPr>
          <w:noProof/>
          <w:spacing w:val="-4"/>
          <w:lang w:val="it-IT"/>
        </w:rPr>
      </w:pPr>
      <w:r w:rsidRPr="007D2CA8">
        <w:rPr>
          <w:noProof/>
          <w:spacing w:val="-4"/>
          <w:lang w:val="it-IT"/>
        </w:rPr>
        <w:t>Mancanza o discontinuità nella distribuzione dei dividendi (IF.7);</w:t>
      </w:r>
    </w:p>
    <w:p w:rsidR="00024F4F" w:rsidRPr="007D2CA8" w:rsidRDefault="00024F4F" w:rsidP="005B7C49">
      <w:pPr>
        <w:pStyle w:val="AElencoTrattini"/>
        <w:widowControl/>
        <w:rPr>
          <w:noProof/>
          <w:spacing w:val="-4"/>
          <w:lang w:val="it-IT"/>
        </w:rPr>
      </w:pPr>
      <w:r w:rsidRPr="007D2CA8">
        <w:rPr>
          <w:noProof/>
          <w:spacing w:val="-4"/>
          <w:lang w:val="it-IT"/>
        </w:rPr>
        <w:t>Cambiamento delle forme di pagamento concesse dai fornitori dalla condizione “a credito” alla condizione “pagamento alla consegna" (IF.10);</w:t>
      </w:r>
    </w:p>
    <w:p w:rsidR="00024F4F" w:rsidRPr="007D2CA8" w:rsidRDefault="00024F4F" w:rsidP="005B7C49">
      <w:pPr>
        <w:pStyle w:val="AElencoTrattini"/>
        <w:widowControl/>
        <w:rPr>
          <w:noProof/>
          <w:spacing w:val="-4"/>
          <w:lang w:val="it-IT"/>
        </w:rPr>
      </w:pPr>
      <w:r w:rsidRPr="007D2CA8">
        <w:rPr>
          <w:noProof/>
          <w:spacing w:val="-4"/>
          <w:lang w:val="it-IT"/>
        </w:rPr>
        <w:t>Difficoltà nell’organico del personale o difficoltà nel mantenere il normale flusso di approvvigionamento da importanti fornitori. (IG.3);</w:t>
      </w:r>
    </w:p>
    <w:p w:rsidR="00024F4F" w:rsidRPr="007D2CA8" w:rsidRDefault="00024F4F" w:rsidP="005B7C49">
      <w:pPr>
        <w:pStyle w:val="AElencoTrattini"/>
        <w:widowControl/>
        <w:rPr>
          <w:noProof/>
          <w:spacing w:val="-4"/>
          <w:lang w:val="it-IT"/>
        </w:rPr>
      </w:pPr>
      <w:r w:rsidRPr="007D2CA8">
        <w:rPr>
          <w:noProof/>
          <w:spacing w:val="-4"/>
          <w:lang w:val="it-IT"/>
        </w:rPr>
        <w:lastRenderedPageBreak/>
        <w:t>Modifiche legislative o politiche governative dalle quali si attendono effetti sfavorevoli all’impresa (AI.3).</w:t>
      </w:r>
    </w:p>
    <w:p w:rsidR="00BD3051" w:rsidRPr="007D2CA8" w:rsidRDefault="00BD3051" w:rsidP="005B7C49">
      <w:pPr>
        <w:pStyle w:val="AElencoTrattini"/>
        <w:widowControl/>
        <w:numPr>
          <w:ilvl w:val="0"/>
          <w:numId w:val="0"/>
        </w:numPr>
        <w:ind w:left="340"/>
        <w:rPr>
          <w:noProof/>
          <w:spacing w:val="-4"/>
          <w:lang w:val="it-IT"/>
        </w:rPr>
      </w:pPr>
    </w:p>
    <w:p w:rsidR="00024F4F" w:rsidRPr="007D2CA8" w:rsidRDefault="00024F4F" w:rsidP="005B7C49">
      <w:pPr>
        <w:pStyle w:val="ATesto"/>
        <w:widowControl/>
        <w:rPr>
          <w:noProof/>
          <w:spacing w:val="-4"/>
          <w:lang w:val="it-IT"/>
        </w:rPr>
      </w:pPr>
      <w:r w:rsidRPr="007D2CA8">
        <w:rPr>
          <w:noProof/>
          <w:spacing w:val="-4"/>
          <w:lang w:val="it-IT"/>
        </w:rPr>
        <w:t>I restanti 13 indicatori sono presenti nelle 61 relazioni (nelle quali l’impossibilità è motivata da, o anche da, situazioni di incertezza) 248 volte, con una media di 4,1 indicatori per relazione e secondo il peso percentuale evidenziato nella Tabella 2.</w:t>
      </w:r>
    </w:p>
    <w:p w:rsidR="00BD3051" w:rsidRPr="007D2CA8" w:rsidRDefault="00BD3051" w:rsidP="005B7C49">
      <w:pPr>
        <w:pStyle w:val="ATesto"/>
        <w:widowControl/>
        <w:rPr>
          <w:noProof/>
          <w:spacing w:val="-4"/>
          <w:lang w:val="it-IT"/>
        </w:rPr>
      </w:pPr>
    </w:p>
    <w:p w:rsidR="00C12B14" w:rsidRPr="007D2CA8" w:rsidRDefault="00C12B14" w:rsidP="00060976">
      <w:pPr>
        <w:pStyle w:val="ATitoloTabella"/>
        <w:spacing w:line="360" w:lineRule="auto"/>
        <w:rPr>
          <w:spacing w:val="-4"/>
        </w:rPr>
      </w:pPr>
      <w:r w:rsidRPr="007D2CA8">
        <w:rPr>
          <w:spacing w:val="-4"/>
        </w:rPr>
        <w:t>Tabella 2: Frequenza totale degli indicatori nelle relazioni di r</w:t>
      </w:r>
      <w:r w:rsidRPr="007D2CA8">
        <w:rPr>
          <w:spacing w:val="-4"/>
        </w:rPr>
        <w:t>e</w:t>
      </w:r>
      <w:r w:rsidRPr="007D2CA8">
        <w:rPr>
          <w:spacing w:val="-4"/>
        </w:rPr>
        <w:t>visione</w:t>
      </w:r>
    </w:p>
    <w:tbl>
      <w:tblPr>
        <w:tblW w:w="3540" w:type="dxa"/>
        <w:jc w:val="center"/>
        <w:tblCellMar>
          <w:left w:w="70" w:type="dxa"/>
          <w:right w:w="70" w:type="dxa"/>
        </w:tblCellMar>
        <w:tblLook w:val="00A0"/>
      </w:tblPr>
      <w:tblGrid>
        <w:gridCol w:w="1560"/>
        <w:gridCol w:w="1240"/>
        <w:gridCol w:w="740"/>
      </w:tblGrid>
      <w:tr w:rsidR="00C12B14" w:rsidRPr="007D2CA8" w:rsidTr="005C4253">
        <w:trPr>
          <w:cantSplit/>
          <w:trHeight w:val="276"/>
          <w:jc w:val="center"/>
        </w:trPr>
        <w:tc>
          <w:tcPr>
            <w:tcW w:w="1560" w:type="dxa"/>
            <w:tcBorders>
              <w:top w:val="single" w:sz="4" w:space="0" w:color="auto"/>
              <w:left w:val="single" w:sz="4" w:space="0" w:color="auto"/>
              <w:bottom w:val="nil"/>
              <w:right w:val="nil"/>
            </w:tcBorders>
            <w:noWrap/>
            <w:vAlign w:val="center"/>
          </w:tcPr>
          <w:p w:rsidR="00C12B14" w:rsidRPr="007D2CA8" w:rsidRDefault="00C12B14" w:rsidP="005C4253">
            <w:pPr>
              <w:jc w:val="center"/>
              <w:rPr>
                <w:rFonts w:ascii="Garamond" w:hAnsi="Garamond"/>
                <w:color w:val="000000"/>
                <w:spacing w:val="-4"/>
                <w:sz w:val="20"/>
                <w:szCs w:val="20"/>
              </w:rPr>
            </w:pPr>
            <w:r w:rsidRPr="007D2CA8">
              <w:rPr>
                <w:rFonts w:ascii="Garamond" w:hAnsi="Garamond"/>
                <w:color w:val="000000"/>
                <w:spacing w:val="-4"/>
                <w:sz w:val="20"/>
                <w:szCs w:val="20"/>
              </w:rPr>
              <w:t>Indicatore</w:t>
            </w:r>
          </w:p>
        </w:tc>
        <w:tc>
          <w:tcPr>
            <w:tcW w:w="1240" w:type="dxa"/>
            <w:tcBorders>
              <w:top w:val="single" w:sz="4" w:space="0" w:color="auto"/>
              <w:left w:val="nil"/>
              <w:bottom w:val="nil"/>
              <w:right w:val="nil"/>
            </w:tcBorders>
            <w:noWrap/>
            <w:vAlign w:val="center"/>
          </w:tcPr>
          <w:p w:rsidR="00C12B14" w:rsidRPr="007D2CA8" w:rsidRDefault="00C12B14" w:rsidP="005C4253">
            <w:pPr>
              <w:jc w:val="right"/>
              <w:rPr>
                <w:rFonts w:ascii="Garamond" w:hAnsi="Garamond"/>
                <w:color w:val="000000"/>
                <w:spacing w:val="-4"/>
                <w:sz w:val="20"/>
                <w:szCs w:val="20"/>
              </w:rPr>
            </w:pPr>
            <w:r w:rsidRPr="007D2CA8">
              <w:rPr>
                <w:rFonts w:ascii="Garamond" w:hAnsi="Garamond"/>
                <w:color w:val="000000"/>
                <w:spacing w:val="-4"/>
                <w:sz w:val="20"/>
                <w:szCs w:val="20"/>
              </w:rPr>
              <w:t>N.</w:t>
            </w:r>
          </w:p>
        </w:tc>
        <w:tc>
          <w:tcPr>
            <w:tcW w:w="740" w:type="dxa"/>
            <w:tcBorders>
              <w:top w:val="single" w:sz="4" w:space="0" w:color="auto"/>
              <w:left w:val="nil"/>
              <w:bottom w:val="nil"/>
              <w:right w:val="single" w:sz="4" w:space="0" w:color="auto"/>
            </w:tcBorders>
            <w:noWrap/>
            <w:vAlign w:val="center"/>
          </w:tcPr>
          <w:p w:rsidR="00C12B14" w:rsidRPr="007D2CA8" w:rsidRDefault="00C12B14" w:rsidP="005C4253">
            <w:pPr>
              <w:jc w:val="center"/>
              <w:rPr>
                <w:rFonts w:ascii="Garamond" w:hAnsi="Garamond"/>
                <w:color w:val="000000"/>
                <w:spacing w:val="-4"/>
                <w:sz w:val="20"/>
                <w:szCs w:val="20"/>
              </w:rPr>
            </w:pPr>
            <w:r w:rsidRPr="007D2CA8">
              <w:rPr>
                <w:rFonts w:ascii="Garamond" w:hAnsi="Garamond"/>
                <w:color w:val="000000"/>
                <w:spacing w:val="-4"/>
                <w:sz w:val="20"/>
                <w:szCs w:val="20"/>
              </w:rPr>
              <w:t>%</w:t>
            </w:r>
          </w:p>
        </w:tc>
      </w:tr>
      <w:tr w:rsidR="00C12B14" w:rsidRPr="007D2CA8" w:rsidTr="005C4253">
        <w:trPr>
          <w:cantSplit/>
          <w:trHeight w:val="276"/>
          <w:jc w:val="center"/>
        </w:trPr>
        <w:tc>
          <w:tcPr>
            <w:tcW w:w="1560" w:type="dxa"/>
            <w:vMerge w:val="restart"/>
            <w:tcBorders>
              <w:top w:val="single" w:sz="4" w:space="0" w:color="auto"/>
              <w:left w:val="single" w:sz="4" w:space="0" w:color="auto"/>
              <w:bottom w:val="nil"/>
              <w:right w:val="nil"/>
            </w:tcBorders>
            <w:noWrap/>
            <w:vAlign w:val="center"/>
          </w:tcPr>
          <w:p w:rsidR="00C12B14" w:rsidRPr="007D2CA8" w:rsidRDefault="00C12B14" w:rsidP="005C4253">
            <w:pPr>
              <w:jc w:val="center"/>
              <w:rPr>
                <w:rFonts w:ascii="Garamond" w:hAnsi="Garamond"/>
                <w:color w:val="000000"/>
                <w:spacing w:val="-4"/>
                <w:sz w:val="20"/>
                <w:szCs w:val="20"/>
              </w:rPr>
            </w:pPr>
            <w:r w:rsidRPr="007D2CA8">
              <w:rPr>
                <w:rFonts w:ascii="Garamond" w:hAnsi="Garamond"/>
                <w:color w:val="000000"/>
                <w:spacing w:val="-4"/>
                <w:sz w:val="20"/>
                <w:szCs w:val="20"/>
              </w:rPr>
              <w:t>IF.1</w:t>
            </w:r>
          </w:p>
        </w:tc>
        <w:tc>
          <w:tcPr>
            <w:tcW w:w="1240" w:type="dxa"/>
            <w:vMerge w:val="restart"/>
            <w:tcBorders>
              <w:top w:val="single" w:sz="4" w:space="0" w:color="auto"/>
              <w:left w:val="nil"/>
              <w:bottom w:val="nil"/>
              <w:right w:val="nil"/>
            </w:tcBorders>
            <w:noWrap/>
            <w:vAlign w:val="center"/>
          </w:tcPr>
          <w:p w:rsidR="00C12B14" w:rsidRPr="007D2CA8" w:rsidRDefault="00C12B14" w:rsidP="005C4253">
            <w:pPr>
              <w:jc w:val="right"/>
              <w:rPr>
                <w:rFonts w:ascii="Garamond" w:hAnsi="Garamond"/>
                <w:color w:val="000000"/>
                <w:spacing w:val="-4"/>
                <w:sz w:val="20"/>
                <w:szCs w:val="20"/>
              </w:rPr>
            </w:pPr>
            <w:r w:rsidRPr="007D2CA8">
              <w:rPr>
                <w:rFonts w:ascii="Garamond" w:hAnsi="Garamond"/>
                <w:color w:val="000000"/>
                <w:spacing w:val="-4"/>
                <w:sz w:val="20"/>
                <w:szCs w:val="20"/>
              </w:rPr>
              <w:t>19</w:t>
            </w:r>
          </w:p>
        </w:tc>
        <w:tc>
          <w:tcPr>
            <w:tcW w:w="740" w:type="dxa"/>
            <w:vMerge w:val="restart"/>
            <w:tcBorders>
              <w:top w:val="single" w:sz="4" w:space="0" w:color="auto"/>
              <w:left w:val="nil"/>
              <w:bottom w:val="nil"/>
              <w:right w:val="single" w:sz="4" w:space="0" w:color="auto"/>
            </w:tcBorders>
            <w:noWrap/>
            <w:vAlign w:val="center"/>
          </w:tcPr>
          <w:p w:rsidR="00C12B14" w:rsidRPr="007D2CA8" w:rsidRDefault="00C12B14" w:rsidP="005C4253">
            <w:pPr>
              <w:jc w:val="center"/>
              <w:rPr>
                <w:rFonts w:ascii="Garamond" w:hAnsi="Garamond"/>
                <w:color w:val="000000"/>
                <w:spacing w:val="-4"/>
                <w:sz w:val="20"/>
                <w:szCs w:val="20"/>
              </w:rPr>
            </w:pPr>
            <w:r w:rsidRPr="007D2CA8">
              <w:rPr>
                <w:rFonts w:ascii="Garamond" w:hAnsi="Garamond"/>
                <w:color w:val="000000"/>
                <w:spacing w:val="-4"/>
                <w:sz w:val="20"/>
                <w:szCs w:val="20"/>
              </w:rPr>
              <w:t>8%</w:t>
            </w:r>
          </w:p>
        </w:tc>
      </w:tr>
      <w:tr w:rsidR="00C12B14" w:rsidRPr="007D2CA8" w:rsidTr="005C4253">
        <w:trPr>
          <w:cantSplit/>
          <w:trHeight w:val="276"/>
          <w:jc w:val="center"/>
        </w:trPr>
        <w:tc>
          <w:tcPr>
            <w:tcW w:w="1560" w:type="dxa"/>
            <w:vMerge/>
            <w:tcBorders>
              <w:top w:val="nil"/>
              <w:left w:val="single" w:sz="4" w:space="0" w:color="auto"/>
              <w:bottom w:val="single" w:sz="4" w:space="0" w:color="auto"/>
              <w:right w:val="nil"/>
            </w:tcBorders>
            <w:vAlign w:val="center"/>
          </w:tcPr>
          <w:p w:rsidR="00C12B14" w:rsidRPr="007D2CA8" w:rsidRDefault="00C12B14" w:rsidP="005C4253">
            <w:pPr>
              <w:rPr>
                <w:rFonts w:ascii="Garamond" w:hAnsi="Garamond"/>
                <w:color w:val="000000"/>
                <w:spacing w:val="-4"/>
                <w:sz w:val="20"/>
                <w:szCs w:val="20"/>
              </w:rPr>
            </w:pPr>
          </w:p>
        </w:tc>
        <w:tc>
          <w:tcPr>
            <w:tcW w:w="1240" w:type="dxa"/>
            <w:vMerge/>
            <w:tcBorders>
              <w:top w:val="nil"/>
              <w:left w:val="nil"/>
              <w:bottom w:val="single" w:sz="4" w:space="0" w:color="auto"/>
              <w:right w:val="nil"/>
            </w:tcBorders>
            <w:vAlign w:val="center"/>
          </w:tcPr>
          <w:p w:rsidR="00C12B14" w:rsidRPr="007D2CA8" w:rsidRDefault="00C12B14" w:rsidP="005C4253">
            <w:pPr>
              <w:jc w:val="right"/>
              <w:rPr>
                <w:rFonts w:ascii="Garamond" w:hAnsi="Garamond"/>
                <w:color w:val="000000"/>
                <w:spacing w:val="-4"/>
                <w:sz w:val="20"/>
                <w:szCs w:val="20"/>
              </w:rPr>
            </w:pPr>
          </w:p>
        </w:tc>
        <w:tc>
          <w:tcPr>
            <w:tcW w:w="740" w:type="dxa"/>
            <w:vMerge/>
            <w:tcBorders>
              <w:top w:val="nil"/>
              <w:left w:val="nil"/>
              <w:bottom w:val="single" w:sz="4" w:space="0" w:color="auto"/>
              <w:right w:val="single" w:sz="4" w:space="0" w:color="auto"/>
            </w:tcBorders>
            <w:vAlign w:val="center"/>
          </w:tcPr>
          <w:p w:rsidR="00C12B14" w:rsidRPr="007D2CA8" w:rsidRDefault="00C12B14" w:rsidP="005C4253">
            <w:pPr>
              <w:rPr>
                <w:rFonts w:ascii="Garamond" w:hAnsi="Garamond"/>
                <w:color w:val="000000"/>
                <w:spacing w:val="-4"/>
                <w:sz w:val="20"/>
                <w:szCs w:val="20"/>
              </w:rPr>
            </w:pPr>
          </w:p>
        </w:tc>
      </w:tr>
      <w:tr w:rsidR="00C12B14" w:rsidRPr="007D2CA8" w:rsidTr="005C4253">
        <w:trPr>
          <w:cantSplit/>
          <w:trHeight w:val="276"/>
          <w:jc w:val="center"/>
        </w:trPr>
        <w:tc>
          <w:tcPr>
            <w:tcW w:w="1560" w:type="dxa"/>
            <w:vMerge w:val="restart"/>
            <w:tcBorders>
              <w:top w:val="single" w:sz="4" w:space="0" w:color="auto"/>
              <w:left w:val="single" w:sz="4" w:space="0" w:color="auto"/>
              <w:bottom w:val="nil"/>
              <w:right w:val="nil"/>
            </w:tcBorders>
            <w:noWrap/>
            <w:vAlign w:val="center"/>
          </w:tcPr>
          <w:p w:rsidR="00C12B14" w:rsidRPr="007D2CA8" w:rsidRDefault="00C12B14" w:rsidP="005C4253">
            <w:pPr>
              <w:jc w:val="center"/>
              <w:rPr>
                <w:rFonts w:ascii="Garamond" w:hAnsi="Garamond"/>
                <w:color w:val="000000"/>
                <w:spacing w:val="-4"/>
                <w:sz w:val="20"/>
                <w:szCs w:val="20"/>
              </w:rPr>
            </w:pPr>
            <w:r w:rsidRPr="007D2CA8">
              <w:rPr>
                <w:rFonts w:ascii="Garamond" w:hAnsi="Garamond"/>
                <w:color w:val="000000"/>
                <w:spacing w:val="-4"/>
                <w:sz w:val="20"/>
                <w:szCs w:val="20"/>
              </w:rPr>
              <w:t>IF.2</w:t>
            </w:r>
          </w:p>
        </w:tc>
        <w:tc>
          <w:tcPr>
            <w:tcW w:w="1240" w:type="dxa"/>
            <w:vMerge w:val="restart"/>
            <w:tcBorders>
              <w:top w:val="single" w:sz="4" w:space="0" w:color="auto"/>
              <w:left w:val="nil"/>
              <w:bottom w:val="nil"/>
              <w:right w:val="nil"/>
            </w:tcBorders>
            <w:noWrap/>
            <w:vAlign w:val="center"/>
          </w:tcPr>
          <w:p w:rsidR="00C12B14" w:rsidRPr="007D2CA8" w:rsidRDefault="00C12B14" w:rsidP="005C4253">
            <w:pPr>
              <w:jc w:val="right"/>
              <w:rPr>
                <w:rFonts w:ascii="Garamond" w:hAnsi="Garamond"/>
                <w:color w:val="000000"/>
                <w:spacing w:val="-4"/>
                <w:sz w:val="20"/>
                <w:szCs w:val="20"/>
              </w:rPr>
            </w:pPr>
            <w:r w:rsidRPr="007D2CA8">
              <w:rPr>
                <w:rFonts w:ascii="Garamond" w:hAnsi="Garamond"/>
                <w:color w:val="000000"/>
                <w:spacing w:val="-4"/>
                <w:sz w:val="20"/>
                <w:szCs w:val="20"/>
              </w:rPr>
              <w:t>11</w:t>
            </w:r>
          </w:p>
        </w:tc>
        <w:tc>
          <w:tcPr>
            <w:tcW w:w="740" w:type="dxa"/>
            <w:vMerge w:val="restart"/>
            <w:tcBorders>
              <w:top w:val="single" w:sz="4" w:space="0" w:color="auto"/>
              <w:left w:val="nil"/>
              <w:bottom w:val="nil"/>
              <w:right w:val="single" w:sz="4" w:space="0" w:color="auto"/>
            </w:tcBorders>
            <w:noWrap/>
            <w:vAlign w:val="center"/>
          </w:tcPr>
          <w:p w:rsidR="00C12B14" w:rsidRPr="007D2CA8" w:rsidRDefault="00C12B14" w:rsidP="005C4253">
            <w:pPr>
              <w:jc w:val="center"/>
              <w:rPr>
                <w:rFonts w:ascii="Garamond" w:hAnsi="Garamond"/>
                <w:color w:val="000000"/>
                <w:spacing w:val="-4"/>
                <w:sz w:val="20"/>
                <w:szCs w:val="20"/>
              </w:rPr>
            </w:pPr>
            <w:r w:rsidRPr="007D2CA8">
              <w:rPr>
                <w:rFonts w:ascii="Garamond" w:hAnsi="Garamond"/>
                <w:color w:val="000000"/>
                <w:spacing w:val="-4"/>
                <w:sz w:val="20"/>
                <w:szCs w:val="20"/>
              </w:rPr>
              <w:t>4%</w:t>
            </w:r>
          </w:p>
        </w:tc>
      </w:tr>
      <w:tr w:rsidR="00C12B14" w:rsidRPr="007D2CA8" w:rsidTr="005C4253">
        <w:trPr>
          <w:cantSplit/>
          <w:trHeight w:val="276"/>
          <w:jc w:val="center"/>
        </w:trPr>
        <w:tc>
          <w:tcPr>
            <w:tcW w:w="1560" w:type="dxa"/>
            <w:vMerge/>
            <w:tcBorders>
              <w:top w:val="nil"/>
              <w:left w:val="single" w:sz="4" w:space="0" w:color="auto"/>
              <w:bottom w:val="single" w:sz="4" w:space="0" w:color="auto"/>
              <w:right w:val="nil"/>
            </w:tcBorders>
            <w:vAlign w:val="center"/>
          </w:tcPr>
          <w:p w:rsidR="00C12B14" w:rsidRPr="007D2CA8" w:rsidRDefault="00C12B14" w:rsidP="005C4253">
            <w:pPr>
              <w:rPr>
                <w:rFonts w:ascii="Garamond" w:hAnsi="Garamond"/>
                <w:color w:val="000000"/>
                <w:spacing w:val="-4"/>
                <w:sz w:val="20"/>
                <w:szCs w:val="20"/>
              </w:rPr>
            </w:pPr>
          </w:p>
        </w:tc>
        <w:tc>
          <w:tcPr>
            <w:tcW w:w="1240" w:type="dxa"/>
            <w:vMerge/>
            <w:tcBorders>
              <w:top w:val="nil"/>
              <w:left w:val="nil"/>
              <w:bottom w:val="single" w:sz="4" w:space="0" w:color="auto"/>
              <w:right w:val="nil"/>
            </w:tcBorders>
            <w:vAlign w:val="center"/>
          </w:tcPr>
          <w:p w:rsidR="00C12B14" w:rsidRPr="007D2CA8" w:rsidRDefault="00C12B14" w:rsidP="005C4253">
            <w:pPr>
              <w:jc w:val="right"/>
              <w:rPr>
                <w:rFonts w:ascii="Garamond" w:hAnsi="Garamond"/>
                <w:color w:val="000000"/>
                <w:spacing w:val="-4"/>
                <w:sz w:val="20"/>
                <w:szCs w:val="20"/>
              </w:rPr>
            </w:pPr>
          </w:p>
        </w:tc>
        <w:tc>
          <w:tcPr>
            <w:tcW w:w="740" w:type="dxa"/>
            <w:vMerge/>
            <w:tcBorders>
              <w:top w:val="nil"/>
              <w:left w:val="nil"/>
              <w:bottom w:val="single" w:sz="4" w:space="0" w:color="auto"/>
              <w:right w:val="single" w:sz="4" w:space="0" w:color="auto"/>
            </w:tcBorders>
            <w:vAlign w:val="center"/>
          </w:tcPr>
          <w:p w:rsidR="00C12B14" w:rsidRPr="007D2CA8" w:rsidRDefault="00C12B14" w:rsidP="005C4253">
            <w:pPr>
              <w:rPr>
                <w:rFonts w:ascii="Garamond" w:hAnsi="Garamond"/>
                <w:color w:val="000000"/>
                <w:spacing w:val="-4"/>
                <w:sz w:val="20"/>
                <w:szCs w:val="20"/>
              </w:rPr>
            </w:pPr>
          </w:p>
        </w:tc>
      </w:tr>
      <w:tr w:rsidR="00C12B14" w:rsidRPr="007D2CA8" w:rsidTr="005C4253">
        <w:trPr>
          <w:cantSplit/>
          <w:trHeight w:val="276"/>
          <w:jc w:val="center"/>
        </w:trPr>
        <w:tc>
          <w:tcPr>
            <w:tcW w:w="1560" w:type="dxa"/>
            <w:vMerge w:val="restart"/>
            <w:tcBorders>
              <w:top w:val="single" w:sz="4" w:space="0" w:color="auto"/>
              <w:left w:val="single" w:sz="4" w:space="0" w:color="auto"/>
              <w:bottom w:val="nil"/>
              <w:right w:val="nil"/>
            </w:tcBorders>
            <w:noWrap/>
            <w:vAlign w:val="center"/>
          </w:tcPr>
          <w:p w:rsidR="00C12B14" w:rsidRPr="007D2CA8" w:rsidRDefault="00C12B14" w:rsidP="005C4253">
            <w:pPr>
              <w:jc w:val="center"/>
              <w:rPr>
                <w:rFonts w:ascii="Garamond" w:hAnsi="Garamond"/>
                <w:color w:val="000000"/>
                <w:spacing w:val="-4"/>
                <w:sz w:val="20"/>
                <w:szCs w:val="20"/>
              </w:rPr>
            </w:pPr>
            <w:r w:rsidRPr="007D2CA8">
              <w:rPr>
                <w:rFonts w:ascii="Garamond" w:hAnsi="Garamond"/>
                <w:color w:val="000000"/>
                <w:spacing w:val="-4"/>
                <w:sz w:val="20"/>
                <w:szCs w:val="20"/>
              </w:rPr>
              <w:t>IF.3</w:t>
            </w:r>
          </w:p>
        </w:tc>
        <w:tc>
          <w:tcPr>
            <w:tcW w:w="1240" w:type="dxa"/>
            <w:vMerge w:val="restart"/>
            <w:tcBorders>
              <w:top w:val="single" w:sz="4" w:space="0" w:color="auto"/>
              <w:left w:val="nil"/>
              <w:bottom w:val="nil"/>
              <w:right w:val="nil"/>
            </w:tcBorders>
            <w:noWrap/>
            <w:vAlign w:val="center"/>
          </w:tcPr>
          <w:p w:rsidR="00C12B14" w:rsidRPr="007D2CA8" w:rsidRDefault="00C12B14" w:rsidP="005C4253">
            <w:pPr>
              <w:jc w:val="right"/>
              <w:rPr>
                <w:rFonts w:ascii="Garamond" w:hAnsi="Garamond"/>
                <w:color w:val="000000"/>
                <w:spacing w:val="-4"/>
                <w:sz w:val="20"/>
                <w:szCs w:val="20"/>
              </w:rPr>
            </w:pPr>
            <w:r w:rsidRPr="007D2CA8">
              <w:rPr>
                <w:rFonts w:ascii="Garamond" w:hAnsi="Garamond"/>
                <w:color w:val="000000"/>
                <w:spacing w:val="-4"/>
                <w:sz w:val="20"/>
                <w:szCs w:val="20"/>
              </w:rPr>
              <w:t>7</w:t>
            </w:r>
          </w:p>
        </w:tc>
        <w:tc>
          <w:tcPr>
            <w:tcW w:w="740" w:type="dxa"/>
            <w:vMerge w:val="restart"/>
            <w:tcBorders>
              <w:top w:val="single" w:sz="4" w:space="0" w:color="auto"/>
              <w:left w:val="nil"/>
              <w:bottom w:val="nil"/>
              <w:right w:val="single" w:sz="4" w:space="0" w:color="auto"/>
            </w:tcBorders>
            <w:noWrap/>
            <w:vAlign w:val="center"/>
          </w:tcPr>
          <w:p w:rsidR="00C12B14" w:rsidRPr="007D2CA8" w:rsidRDefault="00C12B14" w:rsidP="005C4253">
            <w:pPr>
              <w:jc w:val="center"/>
              <w:rPr>
                <w:rFonts w:ascii="Garamond" w:hAnsi="Garamond"/>
                <w:color w:val="000000"/>
                <w:spacing w:val="-4"/>
                <w:sz w:val="20"/>
                <w:szCs w:val="20"/>
              </w:rPr>
            </w:pPr>
            <w:r w:rsidRPr="007D2CA8">
              <w:rPr>
                <w:rFonts w:ascii="Garamond" w:hAnsi="Garamond"/>
                <w:color w:val="000000"/>
                <w:spacing w:val="-4"/>
                <w:sz w:val="20"/>
                <w:szCs w:val="20"/>
              </w:rPr>
              <w:t>3%</w:t>
            </w:r>
          </w:p>
        </w:tc>
      </w:tr>
      <w:tr w:rsidR="00C12B14" w:rsidRPr="007D2CA8" w:rsidTr="005C4253">
        <w:trPr>
          <w:cantSplit/>
          <w:trHeight w:val="276"/>
          <w:jc w:val="center"/>
        </w:trPr>
        <w:tc>
          <w:tcPr>
            <w:tcW w:w="1560" w:type="dxa"/>
            <w:vMerge/>
            <w:tcBorders>
              <w:top w:val="nil"/>
              <w:left w:val="single" w:sz="4" w:space="0" w:color="auto"/>
              <w:bottom w:val="single" w:sz="4" w:space="0" w:color="auto"/>
              <w:right w:val="nil"/>
            </w:tcBorders>
            <w:vAlign w:val="center"/>
          </w:tcPr>
          <w:p w:rsidR="00C12B14" w:rsidRPr="007D2CA8" w:rsidRDefault="00C12B14" w:rsidP="005C4253">
            <w:pPr>
              <w:rPr>
                <w:rFonts w:ascii="Garamond" w:hAnsi="Garamond"/>
                <w:color w:val="000000"/>
                <w:spacing w:val="-4"/>
                <w:sz w:val="20"/>
                <w:szCs w:val="20"/>
              </w:rPr>
            </w:pPr>
          </w:p>
        </w:tc>
        <w:tc>
          <w:tcPr>
            <w:tcW w:w="1240" w:type="dxa"/>
            <w:vMerge/>
            <w:tcBorders>
              <w:top w:val="nil"/>
              <w:left w:val="nil"/>
              <w:bottom w:val="single" w:sz="4" w:space="0" w:color="auto"/>
              <w:right w:val="nil"/>
            </w:tcBorders>
            <w:vAlign w:val="center"/>
          </w:tcPr>
          <w:p w:rsidR="00C12B14" w:rsidRPr="007D2CA8" w:rsidRDefault="00C12B14" w:rsidP="005C4253">
            <w:pPr>
              <w:jc w:val="right"/>
              <w:rPr>
                <w:rFonts w:ascii="Garamond" w:hAnsi="Garamond"/>
                <w:color w:val="000000"/>
                <w:spacing w:val="-4"/>
                <w:sz w:val="20"/>
                <w:szCs w:val="20"/>
              </w:rPr>
            </w:pPr>
          </w:p>
        </w:tc>
        <w:tc>
          <w:tcPr>
            <w:tcW w:w="740" w:type="dxa"/>
            <w:vMerge/>
            <w:tcBorders>
              <w:top w:val="nil"/>
              <w:left w:val="nil"/>
              <w:bottom w:val="single" w:sz="4" w:space="0" w:color="auto"/>
              <w:right w:val="single" w:sz="4" w:space="0" w:color="auto"/>
            </w:tcBorders>
            <w:vAlign w:val="center"/>
          </w:tcPr>
          <w:p w:rsidR="00C12B14" w:rsidRPr="007D2CA8" w:rsidRDefault="00C12B14" w:rsidP="005C4253">
            <w:pPr>
              <w:rPr>
                <w:rFonts w:ascii="Garamond" w:hAnsi="Garamond"/>
                <w:color w:val="000000"/>
                <w:spacing w:val="-4"/>
                <w:sz w:val="20"/>
                <w:szCs w:val="20"/>
              </w:rPr>
            </w:pPr>
          </w:p>
        </w:tc>
      </w:tr>
      <w:tr w:rsidR="00C12B14" w:rsidRPr="007D2CA8" w:rsidTr="005C4253">
        <w:trPr>
          <w:cantSplit/>
          <w:trHeight w:val="276"/>
          <w:jc w:val="center"/>
        </w:trPr>
        <w:tc>
          <w:tcPr>
            <w:tcW w:w="1560" w:type="dxa"/>
            <w:vMerge w:val="restart"/>
            <w:tcBorders>
              <w:top w:val="single" w:sz="4" w:space="0" w:color="auto"/>
              <w:left w:val="single" w:sz="4" w:space="0" w:color="auto"/>
              <w:bottom w:val="nil"/>
              <w:right w:val="nil"/>
            </w:tcBorders>
            <w:noWrap/>
            <w:vAlign w:val="center"/>
          </w:tcPr>
          <w:p w:rsidR="00C12B14" w:rsidRPr="007D2CA8" w:rsidRDefault="00C12B14" w:rsidP="005C4253">
            <w:pPr>
              <w:jc w:val="center"/>
              <w:rPr>
                <w:rFonts w:ascii="Garamond" w:hAnsi="Garamond"/>
                <w:color w:val="000000"/>
                <w:spacing w:val="-4"/>
                <w:sz w:val="20"/>
                <w:szCs w:val="20"/>
              </w:rPr>
            </w:pPr>
            <w:r w:rsidRPr="007D2CA8">
              <w:rPr>
                <w:rFonts w:ascii="Garamond" w:hAnsi="Garamond"/>
                <w:color w:val="000000"/>
                <w:spacing w:val="-4"/>
                <w:sz w:val="20"/>
                <w:szCs w:val="20"/>
              </w:rPr>
              <w:t>IF.4</w:t>
            </w:r>
          </w:p>
        </w:tc>
        <w:tc>
          <w:tcPr>
            <w:tcW w:w="1240" w:type="dxa"/>
            <w:vMerge w:val="restart"/>
            <w:tcBorders>
              <w:top w:val="single" w:sz="4" w:space="0" w:color="auto"/>
              <w:left w:val="nil"/>
              <w:bottom w:val="nil"/>
              <w:right w:val="nil"/>
            </w:tcBorders>
            <w:noWrap/>
            <w:vAlign w:val="center"/>
          </w:tcPr>
          <w:p w:rsidR="00C12B14" w:rsidRPr="007D2CA8" w:rsidRDefault="00C12B14" w:rsidP="005C4253">
            <w:pPr>
              <w:jc w:val="right"/>
              <w:rPr>
                <w:rFonts w:ascii="Garamond" w:hAnsi="Garamond"/>
                <w:color w:val="000000"/>
                <w:spacing w:val="-4"/>
                <w:sz w:val="20"/>
                <w:szCs w:val="20"/>
              </w:rPr>
            </w:pPr>
            <w:r w:rsidRPr="007D2CA8">
              <w:rPr>
                <w:rFonts w:ascii="Garamond" w:hAnsi="Garamond"/>
                <w:color w:val="000000"/>
                <w:spacing w:val="-4"/>
                <w:sz w:val="20"/>
                <w:szCs w:val="20"/>
              </w:rPr>
              <w:t>5</w:t>
            </w:r>
          </w:p>
        </w:tc>
        <w:tc>
          <w:tcPr>
            <w:tcW w:w="740" w:type="dxa"/>
            <w:vMerge w:val="restart"/>
            <w:tcBorders>
              <w:top w:val="single" w:sz="4" w:space="0" w:color="auto"/>
              <w:left w:val="nil"/>
              <w:bottom w:val="nil"/>
              <w:right w:val="single" w:sz="4" w:space="0" w:color="auto"/>
            </w:tcBorders>
            <w:noWrap/>
            <w:vAlign w:val="center"/>
          </w:tcPr>
          <w:p w:rsidR="00C12B14" w:rsidRPr="007D2CA8" w:rsidRDefault="00C12B14" w:rsidP="005C4253">
            <w:pPr>
              <w:jc w:val="center"/>
              <w:rPr>
                <w:rFonts w:ascii="Garamond" w:hAnsi="Garamond"/>
                <w:color w:val="000000"/>
                <w:spacing w:val="-4"/>
                <w:sz w:val="20"/>
                <w:szCs w:val="20"/>
              </w:rPr>
            </w:pPr>
            <w:r w:rsidRPr="007D2CA8">
              <w:rPr>
                <w:rFonts w:ascii="Garamond" w:hAnsi="Garamond"/>
                <w:color w:val="000000"/>
                <w:spacing w:val="-4"/>
                <w:sz w:val="20"/>
                <w:szCs w:val="20"/>
              </w:rPr>
              <w:t>2%</w:t>
            </w:r>
          </w:p>
        </w:tc>
      </w:tr>
      <w:tr w:rsidR="00C12B14" w:rsidRPr="007D2CA8" w:rsidTr="005C4253">
        <w:trPr>
          <w:cantSplit/>
          <w:trHeight w:val="276"/>
          <w:jc w:val="center"/>
        </w:trPr>
        <w:tc>
          <w:tcPr>
            <w:tcW w:w="1560" w:type="dxa"/>
            <w:vMerge/>
            <w:tcBorders>
              <w:top w:val="nil"/>
              <w:left w:val="single" w:sz="4" w:space="0" w:color="auto"/>
              <w:bottom w:val="single" w:sz="4" w:space="0" w:color="auto"/>
              <w:right w:val="nil"/>
            </w:tcBorders>
            <w:vAlign w:val="center"/>
          </w:tcPr>
          <w:p w:rsidR="00C12B14" w:rsidRPr="007D2CA8" w:rsidRDefault="00C12B14" w:rsidP="005C4253">
            <w:pPr>
              <w:rPr>
                <w:rFonts w:ascii="Garamond" w:hAnsi="Garamond"/>
                <w:color w:val="000000"/>
                <w:spacing w:val="-4"/>
                <w:sz w:val="20"/>
                <w:szCs w:val="20"/>
              </w:rPr>
            </w:pPr>
          </w:p>
        </w:tc>
        <w:tc>
          <w:tcPr>
            <w:tcW w:w="1240" w:type="dxa"/>
            <w:vMerge/>
            <w:tcBorders>
              <w:top w:val="nil"/>
              <w:left w:val="nil"/>
              <w:bottom w:val="single" w:sz="4" w:space="0" w:color="auto"/>
              <w:right w:val="nil"/>
            </w:tcBorders>
            <w:vAlign w:val="center"/>
          </w:tcPr>
          <w:p w:rsidR="00C12B14" w:rsidRPr="007D2CA8" w:rsidRDefault="00C12B14" w:rsidP="005C4253">
            <w:pPr>
              <w:jc w:val="right"/>
              <w:rPr>
                <w:rFonts w:ascii="Garamond" w:hAnsi="Garamond"/>
                <w:color w:val="000000"/>
                <w:spacing w:val="-4"/>
                <w:sz w:val="20"/>
                <w:szCs w:val="20"/>
              </w:rPr>
            </w:pPr>
          </w:p>
        </w:tc>
        <w:tc>
          <w:tcPr>
            <w:tcW w:w="740" w:type="dxa"/>
            <w:vMerge/>
            <w:tcBorders>
              <w:top w:val="nil"/>
              <w:left w:val="nil"/>
              <w:bottom w:val="single" w:sz="4" w:space="0" w:color="auto"/>
              <w:right w:val="single" w:sz="4" w:space="0" w:color="auto"/>
            </w:tcBorders>
            <w:vAlign w:val="center"/>
          </w:tcPr>
          <w:p w:rsidR="00C12B14" w:rsidRPr="007D2CA8" w:rsidRDefault="00C12B14" w:rsidP="005C4253">
            <w:pPr>
              <w:rPr>
                <w:rFonts w:ascii="Garamond" w:hAnsi="Garamond"/>
                <w:color w:val="000000"/>
                <w:spacing w:val="-4"/>
                <w:sz w:val="20"/>
                <w:szCs w:val="20"/>
              </w:rPr>
            </w:pPr>
          </w:p>
        </w:tc>
      </w:tr>
      <w:tr w:rsidR="00C12B14" w:rsidRPr="007D2CA8" w:rsidTr="005C4253">
        <w:trPr>
          <w:cantSplit/>
          <w:trHeight w:val="276"/>
          <w:jc w:val="center"/>
        </w:trPr>
        <w:tc>
          <w:tcPr>
            <w:tcW w:w="1560" w:type="dxa"/>
            <w:vMerge w:val="restart"/>
            <w:tcBorders>
              <w:top w:val="single" w:sz="4" w:space="0" w:color="auto"/>
              <w:left w:val="single" w:sz="4" w:space="0" w:color="auto"/>
              <w:bottom w:val="nil"/>
              <w:right w:val="nil"/>
            </w:tcBorders>
            <w:noWrap/>
            <w:vAlign w:val="center"/>
          </w:tcPr>
          <w:p w:rsidR="00C12B14" w:rsidRPr="007D2CA8" w:rsidRDefault="00C12B14" w:rsidP="005C4253">
            <w:pPr>
              <w:jc w:val="center"/>
              <w:rPr>
                <w:rFonts w:ascii="Garamond" w:hAnsi="Garamond"/>
                <w:color w:val="000000"/>
                <w:spacing w:val="-4"/>
                <w:sz w:val="20"/>
                <w:szCs w:val="20"/>
              </w:rPr>
            </w:pPr>
            <w:r w:rsidRPr="007D2CA8">
              <w:rPr>
                <w:rFonts w:ascii="Garamond" w:hAnsi="Garamond"/>
                <w:color w:val="000000"/>
                <w:spacing w:val="-4"/>
                <w:sz w:val="20"/>
                <w:szCs w:val="20"/>
              </w:rPr>
              <w:t>IF.5</w:t>
            </w:r>
          </w:p>
        </w:tc>
        <w:tc>
          <w:tcPr>
            <w:tcW w:w="1240" w:type="dxa"/>
            <w:vMerge w:val="restart"/>
            <w:tcBorders>
              <w:top w:val="single" w:sz="4" w:space="0" w:color="auto"/>
              <w:left w:val="nil"/>
              <w:bottom w:val="nil"/>
              <w:right w:val="nil"/>
            </w:tcBorders>
            <w:noWrap/>
            <w:vAlign w:val="center"/>
          </w:tcPr>
          <w:p w:rsidR="00C12B14" w:rsidRPr="007D2CA8" w:rsidRDefault="00C12B14" w:rsidP="005C4253">
            <w:pPr>
              <w:jc w:val="right"/>
              <w:rPr>
                <w:rFonts w:ascii="Garamond" w:hAnsi="Garamond"/>
                <w:color w:val="000000"/>
                <w:spacing w:val="-4"/>
                <w:sz w:val="20"/>
                <w:szCs w:val="20"/>
              </w:rPr>
            </w:pPr>
            <w:r w:rsidRPr="007D2CA8">
              <w:rPr>
                <w:rFonts w:ascii="Garamond" w:hAnsi="Garamond"/>
                <w:color w:val="000000"/>
                <w:spacing w:val="-4"/>
                <w:sz w:val="20"/>
                <w:szCs w:val="20"/>
              </w:rPr>
              <w:t>39</w:t>
            </w:r>
          </w:p>
        </w:tc>
        <w:tc>
          <w:tcPr>
            <w:tcW w:w="740" w:type="dxa"/>
            <w:vMerge w:val="restart"/>
            <w:tcBorders>
              <w:top w:val="single" w:sz="4" w:space="0" w:color="auto"/>
              <w:left w:val="nil"/>
              <w:bottom w:val="nil"/>
              <w:right w:val="single" w:sz="4" w:space="0" w:color="auto"/>
            </w:tcBorders>
            <w:noWrap/>
            <w:vAlign w:val="center"/>
          </w:tcPr>
          <w:p w:rsidR="00C12B14" w:rsidRPr="007D2CA8" w:rsidRDefault="00C12B14" w:rsidP="005C4253">
            <w:pPr>
              <w:jc w:val="center"/>
              <w:rPr>
                <w:rFonts w:ascii="Garamond" w:hAnsi="Garamond"/>
                <w:color w:val="000000"/>
                <w:spacing w:val="-4"/>
                <w:sz w:val="20"/>
                <w:szCs w:val="20"/>
              </w:rPr>
            </w:pPr>
            <w:r w:rsidRPr="007D2CA8">
              <w:rPr>
                <w:rFonts w:ascii="Garamond" w:hAnsi="Garamond"/>
                <w:color w:val="000000"/>
                <w:spacing w:val="-4"/>
                <w:sz w:val="20"/>
                <w:szCs w:val="20"/>
              </w:rPr>
              <w:t>16%</w:t>
            </w:r>
          </w:p>
        </w:tc>
      </w:tr>
      <w:tr w:rsidR="00C12B14" w:rsidRPr="007D2CA8" w:rsidTr="005C4253">
        <w:trPr>
          <w:cantSplit/>
          <w:trHeight w:val="276"/>
          <w:jc w:val="center"/>
        </w:trPr>
        <w:tc>
          <w:tcPr>
            <w:tcW w:w="1560" w:type="dxa"/>
            <w:vMerge/>
            <w:tcBorders>
              <w:top w:val="nil"/>
              <w:left w:val="single" w:sz="4" w:space="0" w:color="auto"/>
              <w:bottom w:val="single" w:sz="4" w:space="0" w:color="auto"/>
              <w:right w:val="nil"/>
            </w:tcBorders>
            <w:vAlign w:val="center"/>
          </w:tcPr>
          <w:p w:rsidR="00C12B14" w:rsidRPr="007D2CA8" w:rsidRDefault="00C12B14" w:rsidP="005C4253">
            <w:pPr>
              <w:rPr>
                <w:rFonts w:ascii="Garamond" w:hAnsi="Garamond"/>
                <w:color w:val="000000"/>
                <w:spacing w:val="-4"/>
                <w:sz w:val="20"/>
                <w:szCs w:val="20"/>
              </w:rPr>
            </w:pPr>
          </w:p>
        </w:tc>
        <w:tc>
          <w:tcPr>
            <w:tcW w:w="1240" w:type="dxa"/>
            <w:vMerge/>
            <w:tcBorders>
              <w:top w:val="nil"/>
              <w:left w:val="nil"/>
              <w:bottom w:val="single" w:sz="4" w:space="0" w:color="auto"/>
              <w:right w:val="nil"/>
            </w:tcBorders>
            <w:vAlign w:val="center"/>
          </w:tcPr>
          <w:p w:rsidR="00C12B14" w:rsidRPr="007D2CA8" w:rsidRDefault="00C12B14" w:rsidP="005C4253">
            <w:pPr>
              <w:jc w:val="right"/>
              <w:rPr>
                <w:rFonts w:ascii="Garamond" w:hAnsi="Garamond"/>
                <w:color w:val="000000"/>
                <w:spacing w:val="-4"/>
                <w:sz w:val="20"/>
                <w:szCs w:val="20"/>
              </w:rPr>
            </w:pPr>
          </w:p>
        </w:tc>
        <w:tc>
          <w:tcPr>
            <w:tcW w:w="740" w:type="dxa"/>
            <w:vMerge/>
            <w:tcBorders>
              <w:top w:val="nil"/>
              <w:left w:val="nil"/>
              <w:bottom w:val="single" w:sz="4" w:space="0" w:color="auto"/>
              <w:right w:val="single" w:sz="4" w:space="0" w:color="auto"/>
            </w:tcBorders>
            <w:vAlign w:val="center"/>
          </w:tcPr>
          <w:p w:rsidR="00C12B14" w:rsidRPr="007D2CA8" w:rsidRDefault="00C12B14" w:rsidP="005C4253">
            <w:pPr>
              <w:rPr>
                <w:rFonts w:ascii="Garamond" w:hAnsi="Garamond"/>
                <w:color w:val="000000"/>
                <w:spacing w:val="-4"/>
                <w:sz w:val="20"/>
                <w:szCs w:val="20"/>
              </w:rPr>
            </w:pPr>
          </w:p>
        </w:tc>
      </w:tr>
      <w:tr w:rsidR="00C12B14" w:rsidRPr="007D2CA8" w:rsidTr="005C4253">
        <w:trPr>
          <w:cantSplit/>
          <w:trHeight w:val="276"/>
          <w:jc w:val="center"/>
        </w:trPr>
        <w:tc>
          <w:tcPr>
            <w:tcW w:w="1560" w:type="dxa"/>
            <w:vMerge w:val="restart"/>
            <w:tcBorders>
              <w:top w:val="single" w:sz="4" w:space="0" w:color="auto"/>
              <w:left w:val="single" w:sz="4" w:space="0" w:color="auto"/>
              <w:bottom w:val="nil"/>
              <w:right w:val="nil"/>
            </w:tcBorders>
            <w:noWrap/>
            <w:vAlign w:val="center"/>
          </w:tcPr>
          <w:p w:rsidR="00C12B14" w:rsidRPr="007D2CA8" w:rsidRDefault="00C12B14" w:rsidP="005C4253">
            <w:pPr>
              <w:jc w:val="center"/>
              <w:rPr>
                <w:rFonts w:ascii="Garamond" w:hAnsi="Garamond"/>
                <w:color w:val="000000"/>
                <w:spacing w:val="-4"/>
                <w:sz w:val="20"/>
                <w:szCs w:val="20"/>
              </w:rPr>
            </w:pPr>
            <w:r w:rsidRPr="007D2CA8">
              <w:rPr>
                <w:rFonts w:ascii="Garamond" w:hAnsi="Garamond"/>
                <w:color w:val="000000"/>
                <w:spacing w:val="-4"/>
                <w:sz w:val="20"/>
                <w:szCs w:val="20"/>
              </w:rPr>
              <w:t>IF.6</w:t>
            </w:r>
          </w:p>
        </w:tc>
        <w:tc>
          <w:tcPr>
            <w:tcW w:w="1240" w:type="dxa"/>
            <w:vMerge w:val="restart"/>
            <w:tcBorders>
              <w:top w:val="single" w:sz="4" w:space="0" w:color="auto"/>
              <w:left w:val="nil"/>
              <w:bottom w:val="nil"/>
              <w:right w:val="nil"/>
            </w:tcBorders>
            <w:noWrap/>
            <w:vAlign w:val="center"/>
          </w:tcPr>
          <w:p w:rsidR="00C12B14" w:rsidRPr="007D2CA8" w:rsidRDefault="00C12B14" w:rsidP="005C4253">
            <w:pPr>
              <w:jc w:val="right"/>
              <w:rPr>
                <w:rFonts w:ascii="Garamond" w:hAnsi="Garamond"/>
                <w:color w:val="000000"/>
                <w:spacing w:val="-4"/>
                <w:sz w:val="20"/>
                <w:szCs w:val="20"/>
              </w:rPr>
            </w:pPr>
            <w:r w:rsidRPr="007D2CA8">
              <w:rPr>
                <w:rFonts w:ascii="Garamond" w:hAnsi="Garamond"/>
                <w:color w:val="000000"/>
                <w:spacing w:val="-4"/>
                <w:sz w:val="20"/>
                <w:szCs w:val="20"/>
              </w:rPr>
              <w:t>49</w:t>
            </w:r>
          </w:p>
        </w:tc>
        <w:tc>
          <w:tcPr>
            <w:tcW w:w="740" w:type="dxa"/>
            <w:vMerge w:val="restart"/>
            <w:tcBorders>
              <w:top w:val="single" w:sz="4" w:space="0" w:color="auto"/>
              <w:left w:val="nil"/>
              <w:bottom w:val="nil"/>
              <w:right w:val="single" w:sz="4" w:space="0" w:color="auto"/>
            </w:tcBorders>
            <w:noWrap/>
            <w:vAlign w:val="center"/>
          </w:tcPr>
          <w:p w:rsidR="00C12B14" w:rsidRPr="007D2CA8" w:rsidRDefault="00C12B14" w:rsidP="005C4253">
            <w:pPr>
              <w:jc w:val="center"/>
              <w:rPr>
                <w:rFonts w:ascii="Garamond" w:hAnsi="Garamond"/>
                <w:color w:val="000000"/>
                <w:spacing w:val="-4"/>
                <w:sz w:val="20"/>
                <w:szCs w:val="20"/>
              </w:rPr>
            </w:pPr>
            <w:r w:rsidRPr="007D2CA8">
              <w:rPr>
                <w:rFonts w:ascii="Garamond" w:hAnsi="Garamond"/>
                <w:color w:val="000000"/>
                <w:spacing w:val="-4"/>
                <w:sz w:val="20"/>
                <w:szCs w:val="20"/>
              </w:rPr>
              <w:t>20%</w:t>
            </w:r>
          </w:p>
        </w:tc>
      </w:tr>
      <w:tr w:rsidR="00C12B14" w:rsidRPr="007D2CA8" w:rsidTr="005C4253">
        <w:trPr>
          <w:cantSplit/>
          <w:trHeight w:val="276"/>
          <w:jc w:val="center"/>
        </w:trPr>
        <w:tc>
          <w:tcPr>
            <w:tcW w:w="1560" w:type="dxa"/>
            <w:vMerge/>
            <w:tcBorders>
              <w:top w:val="nil"/>
              <w:left w:val="single" w:sz="4" w:space="0" w:color="auto"/>
              <w:bottom w:val="single" w:sz="4" w:space="0" w:color="auto"/>
              <w:right w:val="nil"/>
            </w:tcBorders>
            <w:vAlign w:val="center"/>
          </w:tcPr>
          <w:p w:rsidR="00C12B14" w:rsidRPr="007D2CA8" w:rsidRDefault="00C12B14" w:rsidP="005C4253">
            <w:pPr>
              <w:rPr>
                <w:rFonts w:ascii="Garamond" w:hAnsi="Garamond"/>
                <w:color w:val="000000"/>
                <w:spacing w:val="-4"/>
                <w:sz w:val="20"/>
                <w:szCs w:val="20"/>
              </w:rPr>
            </w:pPr>
          </w:p>
        </w:tc>
        <w:tc>
          <w:tcPr>
            <w:tcW w:w="1240" w:type="dxa"/>
            <w:vMerge/>
            <w:tcBorders>
              <w:top w:val="nil"/>
              <w:left w:val="nil"/>
              <w:bottom w:val="single" w:sz="4" w:space="0" w:color="auto"/>
              <w:right w:val="nil"/>
            </w:tcBorders>
            <w:vAlign w:val="center"/>
          </w:tcPr>
          <w:p w:rsidR="00C12B14" w:rsidRPr="007D2CA8" w:rsidRDefault="00C12B14" w:rsidP="005C4253">
            <w:pPr>
              <w:jc w:val="right"/>
              <w:rPr>
                <w:rFonts w:ascii="Garamond" w:hAnsi="Garamond"/>
                <w:color w:val="000000"/>
                <w:spacing w:val="-4"/>
                <w:sz w:val="20"/>
                <w:szCs w:val="20"/>
              </w:rPr>
            </w:pPr>
          </w:p>
        </w:tc>
        <w:tc>
          <w:tcPr>
            <w:tcW w:w="740" w:type="dxa"/>
            <w:vMerge/>
            <w:tcBorders>
              <w:top w:val="nil"/>
              <w:left w:val="nil"/>
              <w:bottom w:val="single" w:sz="4" w:space="0" w:color="auto"/>
              <w:right w:val="single" w:sz="4" w:space="0" w:color="auto"/>
            </w:tcBorders>
            <w:vAlign w:val="center"/>
          </w:tcPr>
          <w:p w:rsidR="00C12B14" w:rsidRPr="007D2CA8" w:rsidRDefault="00C12B14" w:rsidP="005C4253">
            <w:pPr>
              <w:rPr>
                <w:rFonts w:ascii="Garamond" w:hAnsi="Garamond"/>
                <w:color w:val="000000"/>
                <w:spacing w:val="-4"/>
                <w:sz w:val="20"/>
                <w:szCs w:val="20"/>
              </w:rPr>
            </w:pPr>
          </w:p>
        </w:tc>
      </w:tr>
      <w:tr w:rsidR="00C12B14" w:rsidRPr="007D2CA8" w:rsidTr="005C4253">
        <w:trPr>
          <w:cantSplit/>
          <w:trHeight w:val="276"/>
          <w:jc w:val="center"/>
        </w:trPr>
        <w:tc>
          <w:tcPr>
            <w:tcW w:w="1560" w:type="dxa"/>
            <w:vMerge w:val="restart"/>
            <w:tcBorders>
              <w:top w:val="single" w:sz="4" w:space="0" w:color="auto"/>
              <w:left w:val="single" w:sz="4" w:space="0" w:color="auto"/>
              <w:bottom w:val="nil"/>
              <w:right w:val="nil"/>
            </w:tcBorders>
            <w:noWrap/>
            <w:vAlign w:val="center"/>
          </w:tcPr>
          <w:p w:rsidR="00C12B14" w:rsidRPr="007D2CA8" w:rsidRDefault="00C12B14" w:rsidP="005C4253">
            <w:pPr>
              <w:jc w:val="center"/>
              <w:rPr>
                <w:rFonts w:ascii="Garamond" w:hAnsi="Garamond"/>
                <w:color w:val="000000"/>
                <w:spacing w:val="-4"/>
                <w:sz w:val="20"/>
                <w:szCs w:val="20"/>
              </w:rPr>
            </w:pPr>
            <w:r w:rsidRPr="007D2CA8">
              <w:rPr>
                <w:rFonts w:ascii="Garamond" w:hAnsi="Garamond"/>
                <w:color w:val="000000"/>
                <w:spacing w:val="-4"/>
                <w:sz w:val="20"/>
                <w:szCs w:val="20"/>
              </w:rPr>
              <w:t>IF.8</w:t>
            </w:r>
          </w:p>
        </w:tc>
        <w:tc>
          <w:tcPr>
            <w:tcW w:w="1240" w:type="dxa"/>
            <w:vMerge w:val="restart"/>
            <w:tcBorders>
              <w:top w:val="single" w:sz="4" w:space="0" w:color="auto"/>
              <w:left w:val="nil"/>
              <w:bottom w:val="nil"/>
              <w:right w:val="nil"/>
            </w:tcBorders>
            <w:noWrap/>
            <w:vAlign w:val="center"/>
          </w:tcPr>
          <w:p w:rsidR="00C12B14" w:rsidRPr="007D2CA8" w:rsidRDefault="00C12B14" w:rsidP="005C4253">
            <w:pPr>
              <w:jc w:val="right"/>
              <w:rPr>
                <w:rFonts w:ascii="Garamond" w:hAnsi="Garamond"/>
                <w:color w:val="000000"/>
                <w:spacing w:val="-4"/>
                <w:sz w:val="20"/>
                <w:szCs w:val="20"/>
              </w:rPr>
            </w:pPr>
            <w:r w:rsidRPr="007D2CA8">
              <w:rPr>
                <w:rFonts w:ascii="Garamond" w:hAnsi="Garamond"/>
                <w:color w:val="000000"/>
                <w:spacing w:val="-4"/>
                <w:sz w:val="20"/>
                <w:szCs w:val="20"/>
              </w:rPr>
              <w:t>42</w:t>
            </w:r>
          </w:p>
        </w:tc>
        <w:tc>
          <w:tcPr>
            <w:tcW w:w="740" w:type="dxa"/>
            <w:vMerge w:val="restart"/>
            <w:tcBorders>
              <w:top w:val="single" w:sz="4" w:space="0" w:color="auto"/>
              <w:left w:val="nil"/>
              <w:bottom w:val="nil"/>
              <w:right w:val="single" w:sz="4" w:space="0" w:color="auto"/>
            </w:tcBorders>
            <w:noWrap/>
            <w:vAlign w:val="center"/>
          </w:tcPr>
          <w:p w:rsidR="00C12B14" w:rsidRPr="007D2CA8" w:rsidRDefault="00C12B14" w:rsidP="005C4253">
            <w:pPr>
              <w:jc w:val="center"/>
              <w:rPr>
                <w:rFonts w:ascii="Garamond" w:hAnsi="Garamond"/>
                <w:color w:val="000000"/>
                <w:spacing w:val="-4"/>
                <w:sz w:val="20"/>
                <w:szCs w:val="20"/>
              </w:rPr>
            </w:pPr>
            <w:r w:rsidRPr="007D2CA8">
              <w:rPr>
                <w:rFonts w:ascii="Garamond" w:hAnsi="Garamond"/>
                <w:color w:val="000000"/>
                <w:spacing w:val="-4"/>
                <w:sz w:val="20"/>
                <w:szCs w:val="20"/>
              </w:rPr>
              <w:t>17%</w:t>
            </w:r>
          </w:p>
        </w:tc>
      </w:tr>
      <w:tr w:rsidR="00C12B14" w:rsidRPr="007D2CA8" w:rsidTr="005C4253">
        <w:trPr>
          <w:cantSplit/>
          <w:trHeight w:val="276"/>
          <w:jc w:val="center"/>
        </w:trPr>
        <w:tc>
          <w:tcPr>
            <w:tcW w:w="1560" w:type="dxa"/>
            <w:vMerge/>
            <w:tcBorders>
              <w:top w:val="nil"/>
              <w:left w:val="single" w:sz="4" w:space="0" w:color="auto"/>
              <w:bottom w:val="single" w:sz="4" w:space="0" w:color="auto"/>
              <w:right w:val="nil"/>
            </w:tcBorders>
            <w:vAlign w:val="center"/>
          </w:tcPr>
          <w:p w:rsidR="00C12B14" w:rsidRPr="007D2CA8" w:rsidRDefault="00C12B14" w:rsidP="005C4253">
            <w:pPr>
              <w:rPr>
                <w:rFonts w:ascii="Garamond" w:hAnsi="Garamond"/>
                <w:color w:val="000000"/>
                <w:spacing w:val="-4"/>
                <w:sz w:val="20"/>
                <w:szCs w:val="20"/>
              </w:rPr>
            </w:pPr>
          </w:p>
        </w:tc>
        <w:tc>
          <w:tcPr>
            <w:tcW w:w="1240" w:type="dxa"/>
            <w:vMerge/>
            <w:tcBorders>
              <w:top w:val="nil"/>
              <w:left w:val="nil"/>
              <w:bottom w:val="single" w:sz="4" w:space="0" w:color="auto"/>
              <w:right w:val="nil"/>
            </w:tcBorders>
            <w:vAlign w:val="center"/>
          </w:tcPr>
          <w:p w:rsidR="00C12B14" w:rsidRPr="007D2CA8" w:rsidRDefault="00C12B14" w:rsidP="005C4253">
            <w:pPr>
              <w:jc w:val="right"/>
              <w:rPr>
                <w:rFonts w:ascii="Garamond" w:hAnsi="Garamond"/>
                <w:color w:val="000000"/>
                <w:spacing w:val="-4"/>
                <w:sz w:val="20"/>
                <w:szCs w:val="20"/>
              </w:rPr>
            </w:pPr>
          </w:p>
        </w:tc>
        <w:tc>
          <w:tcPr>
            <w:tcW w:w="740" w:type="dxa"/>
            <w:vMerge/>
            <w:tcBorders>
              <w:top w:val="nil"/>
              <w:left w:val="nil"/>
              <w:bottom w:val="single" w:sz="4" w:space="0" w:color="auto"/>
              <w:right w:val="single" w:sz="4" w:space="0" w:color="auto"/>
            </w:tcBorders>
            <w:vAlign w:val="center"/>
          </w:tcPr>
          <w:p w:rsidR="00C12B14" w:rsidRPr="007D2CA8" w:rsidRDefault="00C12B14" w:rsidP="005C4253">
            <w:pPr>
              <w:rPr>
                <w:rFonts w:ascii="Garamond" w:hAnsi="Garamond"/>
                <w:color w:val="000000"/>
                <w:spacing w:val="-4"/>
                <w:sz w:val="20"/>
                <w:szCs w:val="20"/>
              </w:rPr>
            </w:pPr>
          </w:p>
        </w:tc>
      </w:tr>
      <w:tr w:rsidR="00C12B14" w:rsidRPr="007D2CA8" w:rsidTr="005C4253">
        <w:trPr>
          <w:cantSplit/>
          <w:trHeight w:val="276"/>
          <w:jc w:val="center"/>
        </w:trPr>
        <w:tc>
          <w:tcPr>
            <w:tcW w:w="1560" w:type="dxa"/>
            <w:vMerge w:val="restart"/>
            <w:tcBorders>
              <w:top w:val="single" w:sz="4" w:space="0" w:color="auto"/>
              <w:left w:val="single" w:sz="4" w:space="0" w:color="auto"/>
              <w:bottom w:val="nil"/>
              <w:right w:val="nil"/>
            </w:tcBorders>
            <w:noWrap/>
            <w:vAlign w:val="center"/>
          </w:tcPr>
          <w:p w:rsidR="00C12B14" w:rsidRPr="007D2CA8" w:rsidRDefault="00C12B14" w:rsidP="005C4253">
            <w:pPr>
              <w:jc w:val="center"/>
              <w:rPr>
                <w:rFonts w:ascii="Garamond" w:hAnsi="Garamond"/>
                <w:color w:val="000000"/>
                <w:spacing w:val="-4"/>
                <w:sz w:val="20"/>
                <w:szCs w:val="20"/>
              </w:rPr>
            </w:pPr>
            <w:r w:rsidRPr="007D2CA8">
              <w:rPr>
                <w:rFonts w:ascii="Garamond" w:hAnsi="Garamond"/>
                <w:color w:val="000000"/>
                <w:spacing w:val="-4"/>
                <w:sz w:val="20"/>
                <w:szCs w:val="20"/>
              </w:rPr>
              <w:t>IF.9</w:t>
            </w:r>
          </w:p>
        </w:tc>
        <w:tc>
          <w:tcPr>
            <w:tcW w:w="1240" w:type="dxa"/>
            <w:vMerge w:val="restart"/>
            <w:tcBorders>
              <w:top w:val="single" w:sz="4" w:space="0" w:color="auto"/>
              <w:left w:val="nil"/>
              <w:bottom w:val="nil"/>
              <w:right w:val="nil"/>
            </w:tcBorders>
            <w:noWrap/>
            <w:vAlign w:val="center"/>
          </w:tcPr>
          <w:p w:rsidR="00C12B14" w:rsidRPr="007D2CA8" w:rsidRDefault="00C12B14" w:rsidP="005C4253">
            <w:pPr>
              <w:jc w:val="right"/>
              <w:rPr>
                <w:rFonts w:ascii="Garamond" w:hAnsi="Garamond"/>
                <w:color w:val="000000"/>
                <w:spacing w:val="-4"/>
                <w:sz w:val="20"/>
                <w:szCs w:val="20"/>
              </w:rPr>
            </w:pPr>
            <w:r w:rsidRPr="007D2CA8">
              <w:rPr>
                <w:rFonts w:ascii="Garamond" w:hAnsi="Garamond"/>
                <w:color w:val="000000"/>
                <w:spacing w:val="-4"/>
                <w:sz w:val="20"/>
                <w:szCs w:val="20"/>
              </w:rPr>
              <w:t>28</w:t>
            </w:r>
          </w:p>
        </w:tc>
        <w:tc>
          <w:tcPr>
            <w:tcW w:w="740" w:type="dxa"/>
            <w:vMerge w:val="restart"/>
            <w:tcBorders>
              <w:top w:val="single" w:sz="4" w:space="0" w:color="auto"/>
              <w:left w:val="nil"/>
              <w:bottom w:val="nil"/>
              <w:right w:val="single" w:sz="4" w:space="0" w:color="auto"/>
            </w:tcBorders>
            <w:noWrap/>
            <w:vAlign w:val="center"/>
          </w:tcPr>
          <w:p w:rsidR="00C12B14" w:rsidRPr="007D2CA8" w:rsidRDefault="00C12B14" w:rsidP="005C4253">
            <w:pPr>
              <w:jc w:val="center"/>
              <w:rPr>
                <w:rFonts w:ascii="Garamond" w:hAnsi="Garamond"/>
                <w:color w:val="000000"/>
                <w:spacing w:val="-4"/>
                <w:sz w:val="20"/>
                <w:szCs w:val="20"/>
              </w:rPr>
            </w:pPr>
            <w:r w:rsidRPr="007D2CA8">
              <w:rPr>
                <w:rFonts w:ascii="Garamond" w:hAnsi="Garamond"/>
                <w:color w:val="000000"/>
                <w:spacing w:val="-4"/>
                <w:sz w:val="20"/>
                <w:szCs w:val="20"/>
              </w:rPr>
              <w:t>11%</w:t>
            </w:r>
          </w:p>
        </w:tc>
      </w:tr>
      <w:tr w:rsidR="00C12B14" w:rsidRPr="007D2CA8" w:rsidTr="005C4253">
        <w:trPr>
          <w:cantSplit/>
          <w:trHeight w:val="276"/>
          <w:jc w:val="center"/>
        </w:trPr>
        <w:tc>
          <w:tcPr>
            <w:tcW w:w="1560" w:type="dxa"/>
            <w:vMerge/>
            <w:tcBorders>
              <w:top w:val="nil"/>
              <w:left w:val="single" w:sz="4" w:space="0" w:color="auto"/>
              <w:bottom w:val="single" w:sz="4" w:space="0" w:color="auto"/>
              <w:right w:val="nil"/>
            </w:tcBorders>
            <w:vAlign w:val="center"/>
          </w:tcPr>
          <w:p w:rsidR="00C12B14" w:rsidRPr="007D2CA8" w:rsidRDefault="00C12B14" w:rsidP="005C4253">
            <w:pPr>
              <w:jc w:val="center"/>
              <w:rPr>
                <w:rFonts w:ascii="Garamond" w:hAnsi="Garamond"/>
                <w:color w:val="000000"/>
                <w:spacing w:val="-4"/>
                <w:sz w:val="20"/>
                <w:szCs w:val="20"/>
              </w:rPr>
            </w:pPr>
          </w:p>
        </w:tc>
        <w:tc>
          <w:tcPr>
            <w:tcW w:w="1240" w:type="dxa"/>
            <w:vMerge/>
            <w:tcBorders>
              <w:top w:val="nil"/>
              <w:left w:val="nil"/>
              <w:bottom w:val="single" w:sz="4" w:space="0" w:color="auto"/>
              <w:right w:val="nil"/>
            </w:tcBorders>
            <w:vAlign w:val="center"/>
          </w:tcPr>
          <w:p w:rsidR="00C12B14" w:rsidRPr="007D2CA8" w:rsidRDefault="00C12B14" w:rsidP="005C4253">
            <w:pPr>
              <w:jc w:val="right"/>
              <w:rPr>
                <w:rFonts w:ascii="Garamond" w:hAnsi="Garamond"/>
                <w:color w:val="000000"/>
                <w:spacing w:val="-4"/>
                <w:sz w:val="20"/>
                <w:szCs w:val="20"/>
              </w:rPr>
            </w:pPr>
          </w:p>
        </w:tc>
        <w:tc>
          <w:tcPr>
            <w:tcW w:w="740" w:type="dxa"/>
            <w:vMerge/>
            <w:tcBorders>
              <w:top w:val="nil"/>
              <w:left w:val="nil"/>
              <w:bottom w:val="single" w:sz="4" w:space="0" w:color="auto"/>
              <w:right w:val="single" w:sz="4" w:space="0" w:color="auto"/>
            </w:tcBorders>
            <w:vAlign w:val="center"/>
          </w:tcPr>
          <w:p w:rsidR="00C12B14" w:rsidRPr="007D2CA8" w:rsidRDefault="00C12B14" w:rsidP="005C4253">
            <w:pPr>
              <w:jc w:val="center"/>
              <w:rPr>
                <w:rFonts w:ascii="Garamond" w:hAnsi="Garamond"/>
                <w:color w:val="000000"/>
                <w:spacing w:val="-4"/>
                <w:sz w:val="20"/>
                <w:szCs w:val="20"/>
              </w:rPr>
            </w:pPr>
          </w:p>
        </w:tc>
      </w:tr>
      <w:tr w:rsidR="00C12B14" w:rsidRPr="007D2CA8" w:rsidTr="005C4253">
        <w:trPr>
          <w:cantSplit/>
          <w:trHeight w:val="276"/>
          <w:jc w:val="center"/>
        </w:trPr>
        <w:tc>
          <w:tcPr>
            <w:tcW w:w="1560" w:type="dxa"/>
            <w:vMerge w:val="restart"/>
            <w:tcBorders>
              <w:top w:val="single" w:sz="4" w:space="0" w:color="auto"/>
              <w:left w:val="single" w:sz="4" w:space="0" w:color="auto"/>
              <w:bottom w:val="nil"/>
              <w:right w:val="nil"/>
            </w:tcBorders>
            <w:noWrap/>
            <w:vAlign w:val="center"/>
          </w:tcPr>
          <w:p w:rsidR="00C12B14" w:rsidRPr="007D2CA8" w:rsidRDefault="00C12B14" w:rsidP="005C4253">
            <w:pPr>
              <w:jc w:val="center"/>
              <w:rPr>
                <w:rFonts w:ascii="Garamond" w:hAnsi="Garamond"/>
                <w:color w:val="000000"/>
                <w:spacing w:val="-4"/>
                <w:sz w:val="20"/>
                <w:szCs w:val="20"/>
              </w:rPr>
            </w:pPr>
            <w:r w:rsidRPr="007D2CA8">
              <w:rPr>
                <w:rFonts w:ascii="Garamond" w:hAnsi="Garamond"/>
                <w:color w:val="000000"/>
                <w:spacing w:val="-4"/>
                <w:sz w:val="20"/>
                <w:szCs w:val="20"/>
              </w:rPr>
              <w:t>IF.11</w:t>
            </w:r>
          </w:p>
        </w:tc>
        <w:tc>
          <w:tcPr>
            <w:tcW w:w="1240" w:type="dxa"/>
            <w:vMerge w:val="restart"/>
            <w:tcBorders>
              <w:top w:val="single" w:sz="4" w:space="0" w:color="auto"/>
              <w:left w:val="nil"/>
              <w:bottom w:val="nil"/>
              <w:right w:val="nil"/>
            </w:tcBorders>
            <w:noWrap/>
            <w:vAlign w:val="center"/>
          </w:tcPr>
          <w:p w:rsidR="00C12B14" w:rsidRPr="007D2CA8" w:rsidRDefault="00C12B14" w:rsidP="005C4253">
            <w:pPr>
              <w:jc w:val="right"/>
              <w:rPr>
                <w:rFonts w:ascii="Garamond" w:hAnsi="Garamond"/>
                <w:color w:val="000000"/>
                <w:spacing w:val="-4"/>
                <w:sz w:val="20"/>
                <w:szCs w:val="20"/>
              </w:rPr>
            </w:pPr>
            <w:r w:rsidRPr="007D2CA8">
              <w:rPr>
                <w:rFonts w:ascii="Garamond" w:hAnsi="Garamond"/>
                <w:color w:val="000000"/>
                <w:spacing w:val="-4"/>
                <w:sz w:val="20"/>
                <w:szCs w:val="20"/>
              </w:rPr>
              <w:t>9</w:t>
            </w:r>
          </w:p>
        </w:tc>
        <w:tc>
          <w:tcPr>
            <w:tcW w:w="740" w:type="dxa"/>
            <w:vMerge w:val="restart"/>
            <w:tcBorders>
              <w:top w:val="single" w:sz="4" w:space="0" w:color="auto"/>
              <w:left w:val="nil"/>
              <w:bottom w:val="nil"/>
              <w:right w:val="single" w:sz="4" w:space="0" w:color="auto"/>
            </w:tcBorders>
            <w:noWrap/>
            <w:vAlign w:val="center"/>
          </w:tcPr>
          <w:p w:rsidR="00C12B14" w:rsidRPr="007D2CA8" w:rsidRDefault="00C12B14" w:rsidP="005C4253">
            <w:pPr>
              <w:jc w:val="center"/>
              <w:rPr>
                <w:rFonts w:ascii="Garamond" w:hAnsi="Garamond"/>
                <w:color w:val="000000"/>
                <w:spacing w:val="-4"/>
                <w:sz w:val="20"/>
                <w:szCs w:val="20"/>
              </w:rPr>
            </w:pPr>
            <w:r w:rsidRPr="007D2CA8">
              <w:rPr>
                <w:rFonts w:ascii="Garamond" w:hAnsi="Garamond"/>
                <w:color w:val="000000"/>
                <w:spacing w:val="-4"/>
                <w:sz w:val="20"/>
                <w:szCs w:val="20"/>
              </w:rPr>
              <w:t>4%</w:t>
            </w:r>
          </w:p>
        </w:tc>
      </w:tr>
      <w:tr w:rsidR="00C12B14" w:rsidRPr="007D2CA8" w:rsidTr="005C4253">
        <w:trPr>
          <w:cantSplit/>
          <w:trHeight w:val="276"/>
          <w:jc w:val="center"/>
        </w:trPr>
        <w:tc>
          <w:tcPr>
            <w:tcW w:w="1560" w:type="dxa"/>
            <w:vMerge/>
            <w:tcBorders>
              <w:top w:val="nil"/>
              <w:left w:val="single" w:sz="4" w:space="0" w:color="auto"/>
              <w:bottom w:val="single" w:sz="4" w:space="0" w:color="auto"/>
              <w:right w:val="nil"/>
            </w:tcBorders>
            <w:vAlign w:val="center"/>
          </w:tcPr>
          <w:p w:rsidR="00C12B14" w:rsidRPr="007D2CA8" w:rsidRDefault="00C12B14" w:rsidP="005C4253">
            <w:pPr>
              <w:rPr>
                <w:rFonts w:ascii="Garamond" w:hAnsi="Garamond"/>
                <w:color w:val="000000"/>
                <w:spacing w:val="-4"/>
                <w:sz w:val="20"/>
                <w:szCs w:val="20"/>
              </w:rPr>
            </w:pPr>
          </w:p>
        </w:tc>
        <w:tc>
          <w:tcPr>
            <w:tcW w:w="1240" w:type="dxa"/>
            <w:vMerge/>
            <w:tcBorders>
              <w:top w:val="nil"/>
              <w:left w:val="nil"/>
              <w:bottom w:val="single" w:sz="4" w:space="0" w:color="auto"/>
              <w:right w:val="nil"/>
            </w:tcBorders>
            <w:vAlign w:val="center"/>
          </w:tcPr>
          <w:p w:rsidR="00C12B14" w:rsidRPr="007D2CA8" w:rsidRDefault="00C12B14" w:rsidP="005C4253">
            <w:pPr>
              <w:jc w:val="right"/>
              <w:rPr>
                <w:rFonts w:ascii="Garamond" w:hAnsi="Garamond"/>
                <w:color w:val="000000"/>
                <w:spacing w:val="-4"/>
                <w:sz w:val="20"/>
                <w:szCs w:val="20"/>
              </w:rPr>
            </w:pPr>
          </w:p>
        </w:tc>
        <w:tc>
          <w:tcPr>
            <w:tcW w:w="740" w:type="dxa"/>
            <w:vMerge/>
            <w:tcBorders>
              <w:top w:val="nil"/>
              <w:left w:val="nil"/>
              <w:bottom w:val="single" w:sz="4" w:space="0" w:color="auto"/>
              <w:right w:val="single" w:sz="4" w:space="0" w:color="auto"/>
            </w:tcBorders>
            <w:vAlign w:val="center"/>
          </w:tcPr>
          <w:p w:rsidR="00C12B14" w:rsidRPr="007D2CA8" w:rsidRDefault="00C12B14" w:rsidP="005C4253">
            <w:pPr>
              <w:rPr>
                <w:rFonts w:ascii="Garamond" w:hAnsi="Garamond"/>
                <w:color w:val="000000"/>
                <w:spacing w:val="-4"/>
                <w:sz w:val="20"/>
                <w:szCs w:val="20"/>
              </w:rPr>
            </w:pPr>
          </w:p>
        </w:tc>
      </w:tr>
      <w:tr w:rsidR="00C12B14" w:rsidRPr="007D2CA8" w:rsidTr="005C4253">
        <w:trPr>
          <w:cantSplit/>
          <w:trHeight w:val="276"/>
          <w:jc w:val="center"/>
        </w:trPr>
        <w:tc>
          <w:tcPr>
            <w:tcW w:w="1560" w:type="dxa"/>
            <w:vMerge w:val="restart"/>
            <w:tcBorders>
              <w:top w:val="single" w:sz="4" w:space="0" w:color="auto"/>
              <w:left w:val="single" w:sz="4" w:space="0" w:color="auto"/>
              <w:bottom w:val="nil"/>
              <w:right w:val="nil"/>
            </w:tcBorders>
            <w:noWrap/>
            <w:vAlign w:val="center"/>
          </w:tcPr>
          <w:p w:rsidR="00C12B14" w:rsidRPr="007D2CA8" w:rsidRDefault="00C12B14" w:rsidP="005C4253">
            <w:pPr>
              <w:jc w:val="center"/>
              <w:rPr>
                <w:rFonts w:ascii="Garamond" w:hAnsi="Garamond"/>
                <w:color w:val="000000"/>
                <w:spacing w:val="-4"/>
                <w:sz w:val="20"/>
                <w:szCs w:val="20"/>
              </w:rPr>
            </w:pPr>
            <w:r w:rsidRPr="007D2CA8">
              <w:rPr>
                <w:rFonts w:ascii="Garamond" w:hAnsi="Garamond"/>
                <w:color w:val="000000"/>
                <w:spacing w:val="-4"/>
                <w:sz w:val="20"/>
                <w:szCs w:val="20"/>
              </w:rPr>
              <w:t>IG.1</w:t>
            </w:r>
          </w:p>
        </w:tc>
        <w:tc>
          <w:tcPr>
            <w:tcW w:w="1240" w:type="dxa"/>
            <w:vMerge w:val="restart"/>
            <w:tcBorders>
              <w:top w:val="single" w:sz="4" w:space="0" w:color="auto"/>
              <w:left w:val="nil"/>
              <w:bottom w:val="nil"/>
              <w:right w:val="nil"/>
            </w:tcBorders>
            <w:noWrap/>
            <w:vAlign w:val="center"/>
          </w:tcPr>
          <w:p w:rsidR="00C12B14" w:rsidRPr="007D2CA8" w:rsidRDefault="00C12B14" w:rsidP="005C4253">
            <w:pPr>
              <w:jc w:val="right"/>
              <w:rPr>
                <w:rFonts w:ascii="Garamond" w:hAnsi="Garamond"/>
                <w:color w:val="000000"/>
                <w:spacing w:val="-4"/>
                <w:sz w:val="20"/>
                <w:szCs w:val="20"/>
              </w:rPr>
            </w:pPr>
            <w:r w:rsidRPr="007D2CA8">
              <w:rPr>
                <w:rFonts w:ascii="Garamond" w:hAnsi="Garamond"/>
                <w:color w:val="000000"/>
                <w:spacing w:val="-4"/>
                <w:sz w:val="20"/>
                <w:szCs w:val="20"/>
              </w:rPr>
              <w:t>1</w:t>
            </w:r>
          </w:p>
        </w:tc>
        <w:tc>
          <w:tcPr>
            <w:tcW w:w="740" w:type="dxa"/>
            <w:vMerge w:val="restart"/>
            <w:tcBorders>
              <w:top w:val="single" w:sz="4" w:space="0" w:color="auto"/>
              <w:left w:val="nil"/>
              <w:bottom w:val="nil"/>
              <w:right w:val="single" w:sz="4" w:space="0" w:color="auto"/>
            </w:tcBorders>
            <w:noWrap/>
            <w:vAlign w:val="center"/>
          </w:tcPr>
          <w:p w:rsidR="00C12B14" w:rsidRPr="007D2CA8" w:rsidRDefault="00C12B14" w:rsidP="005C4253">
            <w:pPr>
              <w:jc w:val="center"/>
              <w:rPr>
                <w:rFonts w:ascii="Garamond" w:hAnsi="Garamond"/>
                <w:color w:val="000000"/>
                <w:spacing w:val="-4"/>
                <w:sz w:val="20"/>
                <w:szCs w:val="20"/>
              </w:rPr>
            </w:pPr>
            <w:r w:rsidRPr="007D2CA8">
              <w:rPr>
                <w:rFonts w:ascii="Garamond" w:hAnsi="Garamond"/>
                <w:color w:val="000000"/>
                <w:spacing w:val="-4"/>
                <w:sz w:val="20"/>
                <w:szCs w:val="20"/>
              </w:rPr>
              <w:t>0%</w:t>
            </w:r>
          </w:p>
        </w:tc>
      </w:tr>
      <w:tr w:rsidR="00C12B14" w:rsidRPr="007D2CA8" w:rsidTr="005C4253">
        <w:trPr>
          <w:cantSplit/>
          <w:trHeight w:val="276"/>
          <w:jc w:val="center"/>
        </w:trPr>
        <w:tc>
          <w:tcPr>
            <w:tcW w:w="1560" w:type="dxa"/>
            <w:vMerge/>
            <w:tcBorders>
              <w:top w:val="nil"/>
              <w:left w:val="single" w:sz="4" w:space="0" w:color="auto"/>
              <w:bottom w:val="single" w:sz="4" w:space="0" w:color="auto"/>
              <w:right w:val="nil"/>
            </w:tcBorders>
            <w:vAlign w:val="center"/>
          </w:tcPr>
          <w:p w:rsidR="00C12B14" w:rsidRPr="007D2CA8" w:rsidRDefault="00C12B14" w:rsidP="005C4253">
            <w:pPr>
              <w:rPr>
                <w:rFonts w:ascii="Garamond" w:hAnsi="Garamond"/>
                <w:color w:val="000000"/>
                <w:spacing w:val="-4"/>
                <w:sz w:val="20"/>
                <w:szCs w:val="20"/>
              </w:rPr>
            </w:pPr>
          </w:p>
        </w:tc>
        <w:tc>
          <w:tcPr>
            <w:tcW w:w="1240" w:type="dxa"/>
            <w:vMerge/>
            <w:tcBorders>
              <w:top w:val="nil"/>
              <w:left w:val="nil"/>
              <w:bottom w:val="single" w:sz="4" w:space="0" w:color="auto"/>
              <w:right w:val="nil"/>
            </w:tcBorders>
            <w:vAlign w:val="center"/>
          </w:tcPr>
          <w:p w:rsidR="00C12B14" w:rsidRPr="007D2CA8" w:rsidRDefault="00C12B14" w:rsidP="005C4253">
            <w:pPr>
              <w:jc w:val="right"/>
              <w:rPr>
                <w:rFonts w:ascii="Garamond" w:hAnsi="Garamond"/>
                <w:color w:val="000000"/>
                <w:spacing w:val="-4"/>
                <w:sz w:val="20"/>
                <w:szCs w:val="20"/>
              </w:rPr>
            </w:pPr>
          </w:p>
        </w:tc>
        <w:tc>
          <w:tcPr>
            <w:tcW w:w="740" w:type="dxa"/>
            <w:vMerge/>
            <w:tcBorders>
              <w:top w:val="nil"/>
              <w:left w:val="nil"/>
              <w:bottom w:val="single" w:sz="4" w:space="0" w:color="auto"/>
              <w:right w:val="single" w:sz="4" w:space="0" w:color="auto"/>
            </w:tcBorders>
            <w:vAlign w:val="center"/>
          </w:tcPr>
          <w:p w:rsidR="00C12B14" w:rsidRPr="007D2CA8" w:rsidRDefault="00C12B14" w:rsidP="005C4253">
            <w:pPr>
              <w:rPr>
                <w:rFonts w:ascii="Garamond" w:hAnsi="Garamond"/>
                <w:color w:val="000000"/>
                <w:spacing w:val="-4"/>
                <w:sz w:val="20"/>
                <w:szCs w:val="20"/>
              </w:rPr>
            </w:pPr>
          </w:p>
        </w:tc>
      </w:tr>
      <w:tr w:rsidR="00C12B14" w:rsidRPr="007D2CA8" w:rsidTr="005C4253">
        <w:trPr>
          <w:cantSplit/>
          <w:trHeight w:val="276"/>
          <w:jc w:val="center"/>
        </w:trPr>
        <w:tc>
          <w:tcPr>
            <w:tcW w:w="1560" w:type="dxa"/>
            <w:vMerge w:val="restart"/>
            <w:tcBorders>
              <w:top w:val="single" w:sz="4" w:space="0" w:color="auto"/>
              <w:left w:val="single" w:sz="4" w:space="0" w:color="auto"/>
              <w:bottom w:val="nil"/>
              <w:right w:val="nil"/>
            </w:tcBorders>
            <w:noWrap/>
            <w:vAlign w:val="center"/>
          </w:tcPr>
          <w:p w:rsidR="00C12B14" w:rsidRPr="007D2CA8" w:rsidRDefault="00C12B14" w:rsidP="005C4253">
            <w:pPr>
              <w:jc w:val="center"/>
              <w:rPr>
                <w:rFonts w:ascii="Garamond" w:hAnsi="Garamond"/>
                <w:color w:val="000000"/>
                <w:spacing w:val="-4"/>
                <w:sz w:val="20"/>
                <w:szCs w:val="20"/>
              </w:rPr>
            </w:pPr>
            <w:r w:rsidRPr="007D2CA8">
              <w:rPr>
                <w:rFonts w:ascii="Garamond" w:hAnsi="Garamond"/>
                <w:color w:val="000000"/>
                <w:spacing w:val="-4"/>
                <w:sz w:val="20"/>
                <w:szCs w:val="20"/>
              </w:rPr>
              <w:t>IG.2</w:t>
            </w:r>
          </w:p>
        </w:tc>
        <w:tc>
          <w:tcPr>
            <w:tcW w:w="1240" w:type="dxa"/>
            <w:vMerge w:val="restart"/>
            <w:tcBorders>
              <w:top w:val="single" w:sz="4" w:space="0" w:color="auto"/>
              <w:left w:val="nil"/>
              <w:bottom w:val="nil"/>
              <w:right w:val="nil"/>
            </w:tcBorders>
            <w:noWrap/>
            <w:vAlign w:val="center"/>
          </w:tcPr>
          <w:p w:rsidR="00C12B14" w:rsidRPr="007D2CA8" w:rsidRDefault="00C12B14" w:rsidP="005C4253">
            <w:pPr>
              <w:jc w:val="right"/>
              <w:rPr>
                <w:rFonts w:ascii="Garamond" w:hAnsi="Garamond"/>
                <w:color w:val="000000"/>
                <w:spacing w:val="-4"/>
                <w:sz w:val="20"/>
                <w:szCs w:val="20"/>
              </w:rPr>
            </w:pPr>
            <w:r w:rsidRPr="007D2CA8">
              <w:rPr>
                <w:rFonts w:ascii="Garamond" w:hAnsi="Garamond"/>
                <w:color w:val="000000"/>
                <w:spacing w:val="-4"/>
                <w:sz w:val="20"/>
                <w:szCs w:val="20"/>
              </w:rPr>
              <w:t>1</w:t>
            </w:r>
          </w:p>
        </w:tc>
        <w:tc>
          <w:tcPr>
            <w:tcW w:w="740" w:type="dxa"/>
            <w:vMerge w:val="restart"/>
            <w:tcBorders>
              <w:top w:val="single" w:sz="4" w:space="0" w:color="auto"/>
              <w:left w:val="nil"/>
              <w:bottom w:val="nil"/>
              <w:right w:val="single" w:sz="4" w:space="0" w:color="auto"/>
            </w:tcBorders>
            <w:noWrap/>
            <w:vAlign w:val="center"/>
          </w:tcPr>
          <w:p w:rsidR="00C12B14" w:rsidRPr="007D2CA8" w:rsidRDefault="00C12B14" w:rsidP="005C4253">
            <w:pPr>
              <w:jc w:val="center"/>
              <w:rPr>
                <w:rFonts w:ascii="Garamond" w:hAnsi="Garamond"/>
                <w:color w:val="000000"/>
                <w:spacing w:val="-4"/>
                <w:sz w:val="20"/>
                <w:szCs w:val="20"/>
              </w:rPr>
            </w:pPr>
            <w:r w:rsidRPr="007D2CA8">
              <w:rPr>
                <w:rFonts w:ascii="Garamond" w:hAnsi="Garamond"/>
                <w:color w:val="000000"/>
                <w:spacing w:val="-4"/>
                <w:sz w:val="20"/>
                <w:szCs w:val="20"/>
              </w:rPr>
              <w:t>0%</w:t>
            </w:r>
          </w:p>
        </w:tc>
      </w:tr>
      <w:tr w:rsidR="00C12B14" w:rsidRPr="007D2CA8" w:rsidTr="005C4253">
        <w:trPr>
          <w:cantSplit/>
          <w:trHeight w:val="276"/>
          <w:jc w:val="center"/>
        </w:trPr>
        <w:tc>
          <w:tcPr>
            <w:tcW w:w="1560" w:type="dxa"/>
            <w:vMerge/>
            <w:tcBorders>
              <w:top w:val="nil"/>
              <w:left w:val="single" w:sz="4" w:space="0" w:color="auto"/>
              <w:bottom w:val="single" w:sz="4" w:space="0" w:color="auto"/>
              <w:right w:val="nil"/>
            </w:tcBorders>
            <w:vAlign w:val="center"/>
          </w:tcPr>
          <w:p w:rsidR="00C12B14" w:rsidRPr="007D2CA8" w:rsidRDefault="00C12B14" w:rsidP="005C4253">
            <w:pPr>
              <w:rPr>
                <w:rFonts w:ascii="Garamond" w:hAnsi="Garamond"/>
                <w:color w:val="000000"/>
                <w:spacing w:val="-4"/>
                <w:sz w:val="20"/>
                <w:szCs w:val="20"/>
              </w:rPr>
            </w:pPr>
          </w:p>
        </w:tc>
        <w:tc>
          <w:tcPr>
            <w:tcW w:w="1240" w:type="dxa"/>
            <w:vMerge/>
            <w:tcBorders>
              <w:top w:val="nil"/>
              <w:left w:val="nil"/>
              <w:bottom w:val="single" w:sz="4" w:space="0" w:color="auto"/>
              <w:right w:val="nil"/>
            </w:tcBorders>
            <w:vAlign w:val="center"/>
          </w:tcPr>
          <w:p w:rsidR="00C12B14" w:rsidRPr="007D2CA8" w:rsidRDefault="00C12B14" w:rsidP="005C4253">
            <w:pPr>
              <w:jc w:val="right"/>
              <w:rPr>
                <w:rFonts w:ascii="Garamond" w:hAnsi="Garamond"/>
                <w:color w:val="000000"/>
                <w:spacing w:val="-4"/>
                <w:sz w:val="20"/>
                <w:szCs w:val="20"/>
              </w:rPr>
            </w:pPr>
          </w:p>
        </w:tc>
        <w:tc>
          <w:tcPr>
            <w:tcW w:w="740" w:type="dxa"/>
            <w:vMerge/>
            <w:tcBorders>
              <w:top w:val="nil"/>
              <w:left w:val="nil"/>
              <w:bottom w:val="single" w:sz="4" w:space="0" w:color="auto"/>
              <w:right w:val="single" w:sz="4" w:space="0" w:color="auto"/>
            </w:tcBorders>
            <w:vAlign w:val="center"/>
          </w:tcPr>
          <w:p w:rsidR="00C12B14" w:rsidRPr="007D2CA8" w:rsidRDefault="00C12B14" w:rsidP="005C4253">
            <w:pPr>
              <w:rPr>
                <w:rFonts w:ascii="Garamond" w:hAnsi="Garamond"/>
                <w:color w:val="000000"/>
                <w:spacing w:val="-4"/>
                <w:sz w:val="20"/>
                <w:szCs w:val="20"/>
              </w:rPr>
            </w:pPr>
          </w:p>
        </w:tc>
      </w:tr>
      <w:tr w:rsidR="00C12B14" w:rsidRPr="007D2CA8" w:rsidTr="005C4253">
        <w:trPr>
          <w:cantSplit/>
          <w:trHeight w:val="276"/>
          <w:jc w:val="center"/>
        </w:trPr>
        <w:tc>
          <w:tcPr>
            <w:tcW w:w="1560" w:type="dxa"/>
            <w:vMerge w:val="restart"/>
            <w:tcBorders>
              <w:top w:val="single" w:sz="4" w:space="0" w:color="auto"/>
              <w:left w:val="single" w:sz="4" w:space="0" w:color="auto"/>
              <w:bottom w:val="nil"/>
              <w:right w:val="nil"/>
            </w:tcBorders>
            <w:noWrap/>
            <w:vAlign w:val="center"/>
          </w:tcPr>
          <w:p w:rsidR="00C12B14" w:rsidRPr="007D2CA8" w:rsidRDefault="00C12B14" w:rsidP="005C4253">
            <w:pPr>
              <w:jc w:val="center"/>
              <w:rPr>
                <w:rFonts w:ascii="Garamond" w:hAnsi="Garamond"/>
                <w:color w:val="000000"/>
                <w:spacing w:val="-4"/>
                <w:sz w:val="20"/>
                <w:szCs w:val="20"/>
              </w:rPr>
            </w:pPr>
            <w:r w:rsidRPr="007D2CA8">
              <w:rPr>
                <w:rFonts w:ascii="Garamond" w:hAnsi="Garamond"/>
                <w:color w:val="000000"/>
                <w:spacing w:val="-4"/>
                <w:sz w:val="20"/>
                <w:szCs w:val="20"/>
              </w:rPr>
              <w:t>AI.1</w:t>
            </w:r>
          </w:p>
        </w:tc>
        <w:tc>
          <w:tcPr>
            <w:tcW w:w="1240" w:type="dxa"/>
            <w:vMerge w:val="restart"/>
            <w:tcBorders>
              <w:top w:val="single" w:sz="4" w:space="0" w:color="auto"/>
              <w:left w:val="nil"/>
              <w:bottom w:val="nil"/>
              <w:right w:val="nil"/>
            </w:tcBorders>
            <w:noWrap/>
            <w:vAlign w:val="center"/>
          </w:tcPr>
          <w:p w:rsidR="00C12B14" w:rsidRPr="007D2CA8" w:rsidRDefault="00C12B14" w:rsidP="005C4253">
            <w:pPr>
              <w:jc w:val="right"/>
              <w:rPr>
                <w:rFonts w:ascii="Garamond" w:hAnsi="Garamond"/>
                <w:color w:val="000000"/>
                <w:spacing w:val="-4"/>
                <w:sz w:val="20"/>
                <w:szCs w:val="20"/>
              </w:rPr>
            </w:pPr>
            <w:r w:rsidRPr="007D2CA8">
              <w:rPr>
                <w:rFonts w:ascii="Garamond" w:hAnsi="Garamond"/>
                <w:color w:val="000000"/>
                <w:spacing w:val="-4"/>
                <w:sz w:val="20"/>
                <w:szCs w:val="20"/>
              </w:rPr>
              <w:t>24</w:t>
            </w:r>
          </w:p>
        </w:tc>
        <w:tc>
          <w:tcPr>
            <w:tcW w:w="740" w:type="dxa"/>
            <w:vMerge w:val="restart"/>
            <w:tcBorders>
              <w:top w:val="single" w:sz="4" w:space="0" w:color="auto"/>
              <w:left w:val="nil"/>
              <w:bottom w:val="nil"/>
              <w:right w:val="single" w:sz="4" w:space="0" w:color="auto"/>
            </w:tcBorders>
            <w:noWrap/>
            <w:vAlign w:val="center"/>
          </w:tcPr>
          <w:p w:rsidR="00C12B14" w:rsidRPr="007D2CA8" w:rsidRDefault="00C12B14" w:rsidP="005C4253">
            <w:pPr>
              <w:jc w:val="center"/>
              <w:rPr>
                <w:rFonts w:ascii="Garamond" w:hAnsi="Garamond"/>
                <w:color w:val="000000"/>
                <w:spacing w:val="-4"/>
                <w:sz w:val="20"/>
                <w:szCs w:val="20"/>
              </w:rPr>
            </w:pPr>
            <w:r w:rsidRPr="007D2CA8">
              <w:rPr>
                <w:rFonts w:ascii="Garamond" w:hAnsi="Garamond"/>
                <w:color w:val="000000"/>
                <w:spacing w:val="-4"/>
                <w:sz w:val="20"/>
                <w:szCs w:val="20"/>
              </w:rPr>
              <w:t>10%</w:t>
            </w:r>
          </w:p>
        </w:tc>
      </w:tr>
      <w:tr w:rsidR="00C12B14" w:rsidRPr="007D2CA8" w:rsidTr="005C4253">
        <w:trPr>
          <w:cantSplit/>
          <w:trHeight w:val="276"/>
          <w:jc w:val="center"/>
        </w:trPr>
        <w:tc>
          <w:tcPr>
            <w:tcW w:w="1560" w:type="dxa"/>
            <w:vMerge/>
            <w:tcBorders>
              <w:top w:val="nil"/>
              <w:left w:val="single" w:sz="4" w:space="0" w:color="auto"/>
              <w:bottom w:val="single" w:sz="4" w:space="0" w:color="auto"/>
              <w:right w:val="nil"/>
            </w:tcBorders>
            <w:vAlign w:val="center"/>
          </w:tcPr>
          <w:p w:rsidR="00C12B14" w:rsidRPr="007D2CA8" w:rsidRDefault="00C12B14" w:rsidP="005C4253">
            <w:pPr>
              <w:rPr>
                <w:rFonts w:ascii="Garamond" w:hAnsi="Garamond"/>
                <w:color w:val="000000"/>
                <w:spacing w:val="-4"/>
                <w:sz w:val="20"/>
                <w:szCs w:val="20"/>
              </w:rPr>
            </w:pPr>
          </w:p>
        </w:tc>
        <w:tc>
          <w:tcPr>
            <w:tcW w:w="1240" w:type="dxa"/>
            <w:vMerge/>
            <w:tcBorders>
              <w:top w:val="nil"/>
              <w:left w:val="nil"/>
              <w:bottom w:val="single" w:sz="4" w:space="0" w:color="auto"/>
              <w:right w:val="nil"/>
            </w:tcBorders>
            <w:vAlign w:val="center"/>
          </w:tcPr>
          <w:p w:rsidR="00C12B14" w:rsidRPr="007D2CA8" w:rsidRDefault="00C12B14" w:rsidP="005C4253">
            <w:pPr>
              <w:jc w:val="right"/>
              <w:rPr>
                <w:rFonts w:ascii="Garamond" w:hAnsi="Garamond"/>
                <w:color w:val="000000"/>
                <w:spacing w:val="-4"/>
                <w:sz w:val="20"/>
                <w:szCs w:val="20"/>
              </w:rPr>
            </w:pPr>
          </w:p>
        </w:tc>
        <w:tc>
          <w:tcPr>
            <w:tcW w:w="740" w:type="dxa"/>
            <w:vMerge/>
            <w:tcBorders>
              <w:top w:val="nil"/>
              <w:left w:val="nil"/>
              <w:bottom w:val="single" w:sz="4" w:space="0" w:color="auto"/>
              <w:right w:val="single" w:sz="4" w:space="0" w:color="auto"/>
            </w:tcBorders>
            <w:vAlign w:val="center"/>
          </w:tcPr>
          <w:p w:rsidR="00C12B14" w:rsidRPr="007D2CA8" w:rsidRDefault="00C12B14" w:rsidP="005C4253">
            <w:pPr>
              <w:rPr>
                <w:rFonts w:ascii="Garamond" w:hAnsi="Garamond"/>
                <w:color w:val="000000"/>
                <w:spacing w:val="-4"/>
                <w:sz w:val="20"/>
                <w:szCs w:val="20"/>
              </w:rPr>
            </w:pPr>
          </w:p>
        </w:tc>
      </w:tr>
      <w:tr w:rsidR="00C12B14" w:rsidRPr="007D2CA8" w:rsidTr="005C4253">
        <w:trPr>
          <w:cantSplit/>
          <w:trHeight w:val="276"/>
          <w:jc w:val="center"/>
        </w:trPr>
        <w:tc>
          <w:tcPr>
            <w:tcW w:w="1560" w:type="dxa"/>
            <w:vMerge w:val="restart"/>
            <w:tcBorders>
              <w:top w:val="single" w:sz="4" w:space="0" w:color="auto"/>
              <w:left w:val="single" w:sz="4" w:space="0" w:color="auto"/>
              <w:bottom w:val="nil"/>
              <w:right w:val="nil"/>
            </w:tcBorders>
            <w:noWrap/>
            <w:vAlign w:val="center"/>
          </w:tcPr>
          <w:p w:rsidR="00C12B14" w:rsidRPr="007D2CA8" w:rsidRDefault="00C12B14" w:rsidP="005C4253">
            <w:pPr>
              <w:jc w:val="center"/>
              <w:rPr>
                <w:rFonts w:ascii="Garamond" w:hAnsi="Garamond"/>
                <w:color w:val="000000"/>
                <w:spacing w:val="-4"/>
                <w:sz w:val="20"/>
                <w:szCs w:val="20"/>
              </w:rPr>
            </w:pPr>
            <w:r w:rsidRPr="007D2CA8">
              <w:rPr>
                <w:rFonts w:ascii="Garamond" w:hAnsi="Garamond"/>
                <w:color w:val="000000"/>
                <w:spacing w:val="-4"/>
                <w:sz w:val="20"/>
                <w:szCs w:val="20"/>
              </w:rPr>
              <w:t>AI.2</w:t>
            </w:r>
          </w:p>
        </w:tc>
        <w:tc>
          <w:tcPr>
            <w:tcW w:w="1240" w:type="dxa"/>
            <w:vMerge w:val="restart"/>
            <w:tcBorders>
              <w:top w:val="single" w:sz="4" w:space="0" w:color="auto"/>
              <w:left w:val="nil"/>
              <w:bottom w:val="nil"/>
              <w:right w:val="nil"/>
            </w:tcBorders>
            <w:noWrap/>
            <w:vAlign w:val="center"/>
          </w:tcPr>
          <w:p w:rsidR="00C12B14" w:rsidRPr="007D2CA8" w:rsidRDefault="00C12B14" w:rsidP="005C4253">
            <w:pPr>
              <w:jc w:val="right"/>
              <w:rPr>
                <w:rFonts w:ascii="Garamond" w:hAnsi="Garamond"/>
                <w:color w:val="000000"/>
                <w:spacing w:val="-4"/>
                <w:sz w:val="20"/>
                <w:szCs w:val="20"/>
              </w:rPr>
            </w:pPr>
            <w:r w:rsidRPr="007D2CA8">
              <w:rPr>
                <w:rFonts w:ascii="Garamond" w:hAnsi="Garamond"/>
                <w:color w:val="000000"/>
                <w:spacing w:val="-4"/>
                <w:sz w:val="20"/>
                <w:szCs w:val="20"/>
              </w:rPr>
              <w:t>13</w:t>
            </w:r>
          </w:p>
        </w:tc>
        <w:tc>
          <w:tcPr>
            <w:tcW w:w="740" w:type="dxa"/>
            <w:vMerge w:val="restart"/>
            <w:tcBorders>
              <w:top w:val="single" w:sz="4" w:space="0" w:color="auto"/>
              <w:left w:val="nil"/>
              <w:bottom w:val="nil"/>
              <w:right w:val="single" w:sz="4" w:space="0" w:color="auto"/>
            </w:tcBorders>
            <w:noWrap/>
            <w:vAlign w:val="center"/>
          </w:tcPr>
          <w:p w:rsidR="00C12B14" w:rsidRPr="007D2CA8" w:rsidRDefault="00C12B14" w:rsidP="005C4253">
            <w:pPr>
              <w:jc w:val="center"/>
              <w:rPr>
                <w:rFonts w:ascii="Garamond" w:hAnsi="Garamond"/>
                <w:color w:val="000000"/>
                <w:spacing w:val="-4"/>
                <w:sz w:val="20"/>
                <w:szCs w:val="20"/>
              </w:rPr>
            </w:pPr>
            <w:r w:rsidRPr="007D2CA8">
              <w:rPr>
                <w:rFonts w:ascii="Garamond" w:hAnsi="Garamond"/>
                <w:color w:val="000000"/>
                <w:spacing w:val="-4"/>
                <w:sz w:val="20"/>
                <w:szCs w:val="20"/>
              </w:rPr>
              <w:t>5%</w:t>
            </w:r>
          </w:p>
        </w:tc>
      </w:tr>
      <w:tr w:rsidR="00C12B14" w:rsidRPr="007D2CA8" w:rsidTr="005C4253">
        <w:trPr>
          <w:cantSplit/>
          <w:trHeight w:val="276"/>
          <w:jc w:val="center"/>
        </w:trPr>
        <w:tc>
          <w:tcPr>
            <w:tcW w:w="1560" w:type="dxa"/>
            <w:vMerge/>
            <w:tcBorders>
              <w:top w:val="nil"/>
              <w:left w:val="single" w:sz="4" w:space="0" w:color="auto"/>
              <w:bottom w:val="single" w:sz="4" w:space="0" w:color="auto"/>
              <w:right w:val="nil"/>
            </w:tcBorders>
            <w:vAlign w:val="center"/>
          </w:tcPr>
          <w:p w:rsidR="00C12B14" w:rsidRPr="007D2CA8" w:rsidRDefault="00C12B14" w:rsidP="005C4253">
            <w:pPr>
              <w:rPr>
                <w:rFonts w:ascii="Garamond" w:hAnsi="Garamond"/>
                <w:color w:val="000000"/>
                <w:spacing w:val="-4"/>
                <w:sz w:val="20"/>
                <w:szCs w:val="20"/>
              </w:rPr>
            </w:pPr>
          </w:p>
        </w:tc>
        <w:tc>
          <w:tcPr>
            <w:tcW w:w="1240" w:type="dxa"/>
            <w:vMerge/>
            <w:tcBorders>
              <w:top w:val="nil"/>
              <w:left w:val="nil"/>
              <w:bottom w:val="single" w:sz="4" w:space="0" w:color="auto"/>
              <w:right w:val="nil"/>
            </w:tcBorders>
            <w:vAlign w:val="center"/>
          </w:tcPr>
          <w:p w:rsidR="00C12B14" w:rsidRPr="007D2CA8" w:rsidRDefault="00C12B14" w:rsidP="005C4253">
            <w:pPr>
              <w:jc w:val="right"/>
              <w:rPr>
                <w:rFonts w:ascii="Garamond" w:hAnsi="Garamond"/>
                <w:color w:val="000000"/>
                <w:spacing w:val="-4"/>
                <w:sz w:val="20"/>
                <w:szCs w:val="20"/>
              </w:rPr>
            </w:pPr>
          </w:p>
        </w:tc>
        <w:tc>
          <w:tcPr>
            <w:tcW w:w="740" w:type="dxa"/>
            <w:vMerge/>
            <w:tcBorders>
              <w:top w:val="nil"/>
              <w:left w:val="nil"/>
              <w:bottom w:val="single" w:sz="4" w:space="0" w:color="auto"/>
              <w:right w:val="single" w:sz="4" w:space="0" w:color="auto"/>
            </w:tcBorders>
            <w:vAlign w:val="center"/>
          </w:tcPr>
          <w:p w:rsidR="00C12B14" w:rsidRPr="007D2CA8" w:rsidRDefault="00C12B14" w:rsidP="005C4253">
            <w:pPr>
              <w:rPr>
                <w:rFonts w:ascii="Garamond" w:hAnsi="Garamond"/>
                <w:color w:val="000000"/>
                <w:spacing w:val="-4"/>
                <w:sz w:val="20"/>
                <w:szCs w:val="20"/>
              </w:rPr>
            </w:pPr>
          </w:p>
        </w:tc>
      </w:tr>
      <w:tr w:rsidR="00C12B14" w:rsidRPr="007D2CA8" w:rsidTr="005C4253">
        <w:trPr>
          <w:cantSplit/>
          <w:trHeight w:val="276"/>
          <w:jc w:val="center"/>
        </w:trPr>
        <w:tc>
          <w:tcPr>
            <w:tcW w:w="1560" w:type="dxa"/>
            <w:vMerge w:val="restart"/>
            <w:tcBorders>
              <w:top w:val="single" w:sz="4" w:space="0" w:color="auto"/>
              <w:left w:val="single" w:sz="4" w:space="0" w:color="auto"/>
              <w:right w:val="nil"/>
            </w:tcBorders>
            <w:vAlign w:val="center"/>
          </w:tcPr>
          <w:p w:rsidR="00C12B14" w:rsidRPr="007D2CA8" w:rsidRDefault="00C12B14" w:rsidP="005C4253">
            <w:pPr>
              <w:jc w:val="center"/>
              <w:rPr>
                <w:rFonts w:ascii="Garamond" w:hAnsi="Garamond"/>
                <w:color w:val="000000"/>
                <w:spacing w:val="-4"/>
                <w:sz w:val="20"/>
                <w:szCs w:val="20"/>
              </w:rPr>
            </w:pPr>
            <w:r w:rsidRPr="007D2CA8">
              <w:rPr>
                <w:rFonts w:ascii="Garamond" w:hAnsi="Garamond"/>
                <w:color w:val="000000"/>
                <w:spacing w:val="-4"/>
                <w:sz w:val="20"/>
                <w:szCs w:val="20"/>
              </w:rPr>
              <w:t>TOTALE</w:t>
            </w:r>
          </w:p>
        </w:tc>
        <w:tc>
          <w:tcPr>
            <w:tcW w:w="1240" w:type="dxa"/>
            <w:vMerge w:val="restart"/>
            <w:tcBorders>
              <w:top w:val="single" w:sz="4" w:space="0" w:color="auto"/>
              <w:left w:val="nil"/>
              <w:bottom w:val="nil"/>
              <w:right w:val="nil"/>
            </w:tcBorders>
            <w:noWrap/>
            <w:vAlign w:val="center"/>
          </w:tcPr>
          <w:p w:rsidR="00C12B14" w:rsidRPr="007D2CA8" w:rsidRDefault="00C12B14" w:rsidP="005C4253">
            <w:pPr>
              <w:jc w:val="right"/>
              <w:rPr>
                <w:rFonts w:ascii="Garamond" w:hAnsi="Garamond"/>
                <w:color w:val="000000"/>
                <w:spacing w:val="-4"/>
                <w:sz w:val="20"/>
                <w:szCs w:val="20"/>
              </w:rPr>
            </w:pPr>
            <w:r w:rsidRPr="007D2CA8">
              <w:rPr>
                <w:rFonts w:ascii="Garamond" w:hAnsi="Garamond"/>
                <w:color w:val="000000"/>
                <w:spacing w:val="-4"/>
                <w:sz w:val="20"/>
                <w:szCs w:val="20"/>
              </w:rPr>
              <w:t>248</w:t>
            </w:r>
          </w:p>
        </w:tc>
        <w:tc>
          <w:tcPr>
            <w:tcW w:w="740" w:type="dxa"/>
            <w:vMerge w:val="restart"/>
            <w:tcBorders>
              <w:top w:val="single" w:sz="4" w:space="0" w:color="auto"/>
              <w:left w:val="nil"/>
              <w:bottom w:val="nil"/>
              <w:right w:val="single" w:sz="4" w:space="0" w:color="auto"/>
            </w:tcBorders>
            <w:noWrap/>
            <w:vAlign w:val="center"/>
          </w:tcPr>
          <w:p w:rsidR="00C12B14" w:rsidRPr="007D2CA8" w:rsidRDefault="00C12B14" w:rsidP="005C4253">
            <w:pPr>
              <w:jc w:val="center"/>
              <w:rPr>
                <w:rFonts w:ascii="Garamond" w:hAnsi="Garamond"/>
                <w:color w:val="000000"/>
                <w:spacing w:val="-4"/>
                <w:sz w:val="20"/>
                <w:szCs w:val="20"/>
              </w:rPr>
            </w:pPr>
            <w:r w:rsidRPr="007D2CA8">
              <w:rPr>
                <w:rFonts w:ascii="Garamond" w:hAnsi="Garamond"/>
                <w:color w:val="000000"/>
                <w:spacing w:val="-4"/>
                <w:sz w:val="20"/>
                <w:szCs w:val="20"/>
              </w:rPr>
              <w:t>100%</w:t>
            </w:r>
          </w:p>
        </w:tc>
      </w:tr>
      <w:tr w:rsidR="00C12B14" w:rsidRPr="007D2CA8" w:rsidTr="005C4253">
        <w:trPr>
          <w:trHeight w:val="300"/>
          <w:jc w:val="center"/>
        </w:trPr>
        <w:tc>
          <w:tcPr>
            <w:tcW w:w="1560" w:type="dxa"/>
            <w:vMerge/>
            <w:tcBorders>
              <w:left w:val="single" w:sz="4" w:space="0" w:color="auto"/>
              <w:bottom w:val="single" w:sz="4" w:space="0" w:color="auto"/>
              <w:right w:val="nil"/>
            </w:tcBorders>
            <w:vAlign w:val="bottom"/>
          </w:tcPr>
          <w:p w:rsidR="00C12B14" w:rsidRPr="007D2CA8" w:rsidRDefault="00C12B14" w:rsidP="005C4253">
            <w:pPr>
              <w:rPr>
                <w:rFonts w:ascii="Garamond" w:hAnsi="Garamond"/>
                <w:color w:val="000000"/>
                <w:spacing w:val="-4"/>
                <w:sz w:val="20"/>
                <w:szCs w:val="20"/>
              </w:rPr>
            </w:pPr>
          </w:p>
        </w:tc>
        <w:tc>
          <w:tcPr>
            <w:tcW w:w="1240" w:type="dxa"/>
            <w:vMerge/>
            <w:tcBorders>
              <w:top w:val="nil"/>
              <w:left w:val="nil"/>
              <w:bottom w:val="single" w:sz="4" w:space="0" w:color="auto"/>
              <w:right w:val="nil"/>
            </w:tcBorders>
            <w:vAlign w:val="center"/>
          </w:tcPr>
          <w:p w:rsidR="00C12B14" w:rsidRPr="007D2CA8" w:rsidRDefault="00C12B14" w:rsidP="005C4253">
            <w:pPr>
              <w:jc w:val="right"/>
              <w:rPr>
                <w:rFonts w:ascii="Garamond" w:hAnsi="Garamond"/>
                <w:color w:val="000000"/>
                <w:spacing w:val="-4"/>
                <w:sz w:val="20"/>
                <w:szCs w:val="20"/>
              </w:rPr>
            </w:pPr>
          </w:p>
        </w:tc>
        <w:tc>
          <w:tcPr>
            <w:tcW w:w="740" w:type="dxa"/>
            <w:vMerge/>
            <w:tcBorders>
              <w:top w:val="nil"/>
              <w:left w:val="nil"/>
              <w:bottom w:val="single" w:sz="4" w:space="0" w:color="auto"/>
              <w:right w:val="single" w:sz="4" w:space="0" w:color="auto"/>
            </w:tcBorders>
            <w:vAlign w:val="center"/>
          </w:tcPr>
          <w:p w:rsidR="00C12B14" w:rsidRPr="007D2CA8" w:rsidRDefault="00C12B14" w:rsidP="005C4253">
            <w:pPr>
              <w:rPr>
                <w:rFonts w:ascii="Garamond" w:hAnsi="Garamond"/>
                <w:color w:val="000000"/>
                <w:spacing w:val="-4"/>
                <w:sz w:val="20"/>
                <w:szCs w:val="20"/>
              </w:rPr>
            </w:pPr>
          </w:p>
        </w:tc>
      </w:tr>
    </w:tbl>
    <w:p w:rsidR="0043722A" w:rsidRDefault="0043722A" w:rsidP="005B7C49">
      <w:pPr>
        <w:pStyle w:val="ATesto"/>
        <w:widowControl/>
        <w:rPr>
          <w:noProof/>
          <w:spacing w:val="-4"/>
          <w:lang w:val="it-IT"/>
        </w:rPr>
      </w:pPr>
    </w:p>
    <w:p w:rsidR="00024F4F" w:rsidRPr="007D2CA8" w:rsidRDefault="00024F4F" w:rsidP="005B7C49">
      <w:pPr>
        <w:pStyle w:val="ATesto"/>
        <w:widowControl/>
        <w:rPr>
          <w:noProof/>
          <w:spacing w:val="-4"/>
          <w:lang w:val="it-IT"/>
        </w:rPr>
      </w:pPr>
      <w:r w:rsidRPr="007D2CA8">
        <w:rPr>
          <w:noProof/>
          <w:spacing w:val="-4"/>
          <w:lang w:val="it-IT"/>
        </w:rPr>
        <w:t xml:space="preserve">L’utilizzo degli indicatori sulle 61 relazioni che motivavano situazioni di incertezza è avvenuto con la frequenza descritta nella Tabella 3. Da tale tabella si evidenzia che gli </w:t>
      </w:r>
      <w:r w:rsidRPr="007D2CA8">
        <w:rPr>
          <w:noProof/>
          <w:spacing w:val="-4"/>
          <w:lang w:val="it-IT"/>
        </w:rPr>
        <w:lastRenderedPageBreak/>
        <w:t>indicatori utilizzati per motivare situazioni di incertezza, in più della metà delle r</w:t>
      </w:r>
      <w:r w:rsidR="00BB4B55">
        <w:rPr>
          <w:noProof/>
          <w:spacing w:val="-4"/>
          <w:lang w:val="it-IT"/>
        </w:rPr>
        <w:t>elazioni, sono stati i seguenti:</w:t>
      </w:r>
    </w:p>
    <w:p w:rsidR="00024F4F" w:rsidRPr="007D2CA8" w:rsidRDefault="00024F4F" w:rsidP="005B7C49">
      <w:pPr>
        <w:pStyle w:val="AElencoTrattini"/>
        <w:widowControl/>
        <w:rPr>
          <w:noProof/>
          <w:spacing w:val="-4"/>
          <w:lang w:val="it-IT"/>
        </w:rPr>
      </w:pPr>
      <w:r w:rsidRPr="007D2CA8">
        <w:rPr>
          <w:noProof/>
          <w:spacing w:val="-4"/>
          <w:lang w:val="it-IT"/>
        </w:rPr>
        <w:t>Consistenti perdite operative o significative perdite di valore delle attività che generano cash flow (IF.6), utilizzato in 49 delle 61 relazioni esaminate (80%). Nella maggior parte di casi si fa riferimento al pesante risultato d’esercizio negativo, e in alcuni si richiamano anche le perdite degli esercizi precedenti.</w:t>
      </w:r>
    </w:p>
    <w:p w:rsidR="00024F4F" w:rsidRPr="007D2CA8" w:rsidRDefault="00024F4F" w:rsidP="005B7C49">
      <w:pPr>
        <w:pStyle w:val="AElencoTrattini"/>
        <w:widowControl/>
        <w:rPr>
          <w:noProof/>
          <w:spacing w:val="-4"/>
          <w:lang w:val="it-IT"/>
        </w:rPr>
      </w:pPr>
      <w:r w:rsidRPr="007D2CA8">
        <w:rPr>
          <w:noProof/>
          <w:spacing w:val="-4"/>
          <w:lang w:val="it-IT"/>
        </w:rPr>
        <w:t>Principali indici economico-finanziari negativi (IF.5), utilizzato in 38 delle 61 relazioni esaminate (62%). L’indicatore sempre utilizzato è la posizione finanziaria netta negativa.</w:t>
      </w:r>
    </w:p>
    <w:p w:rsidR="00024F4F" w:rsidRPr="007D2CA8" w:rsidRDefault="00024F4F" w:rsidP="005B7C49">
      <w:pPr>
        <w:pStyle w:val="AElencoTrattini"/>
        <w:widowControl/>
        <w:rPr>
          <w:noProof/>
          <w:spacing w:val="-4"/>
          <w:lang w:val="it-IT"/>
        </w:rPr>
      </w:pPr>
      <w:r w:rsidRPr="007D2CA8">
        <w:rPr>
          <w:noProof/>
          <w:spacing w:val="-4"/>
          <w:lang w:val="it-IT"/>
        </w:rPr>
        <w:t>Incapacità di saldare i debiti alla scadenza (IF.8), utilizzato in 36 delle 59 relazioni esaminate (69%). In particolare si fa per lo più riferimento alla presenza di scaduti rispetto a fornitori e/o istituti di credito.</w:t>
      </w:r>
    </w:p>
    <w:p w:rsidR="00BD3051" w:rsidRPr="007D2CA8" w:rsidRDefault="00BD3051" w:rsidP="005B7C49">
      <w:pPr>
        <w:pStyle w:val="AElencoTrattini"/>
        <w:widowControl/>
        <w:numPr>
          <w:ilvl w:val="0"/>
          <w:numId w:val="0"/>
        </w:numPr>
        <w:ind w:left="624" w:hanging="284"/>
        <w:rPr>
          <w:noProof/>
          <w:spacing w:val="-4"/>
          <w:lang w:val="it-IT"/>
        </w:rPr>
      </w:pPr>
    </w:p>
    <w:p w:rsidR="00060976" w:rsidRPr="007D2CA8" w:rsidRDefault="00060976" w:rsidP="00060976">
      <w:pPr>
        <w:pStyle w:val="ATitoloTabella"/>
        <w:spacing w:line="360" w:lineRule="auto"/>
        <w:rPr>
          <w:spacing w:val="-4"/>
        </w:rPr>
      </w:pPr>
      <w:r w:rsidRPr="007D2CA8">
        <w:rPr>
          <w:spacing w:val="-4"/>
        </w:rPr>
        <w:t>Tabella 3: Numero delle relazioni in cui sono presenti i singoli ind</w:t>
      </w:r>
      <w:r w:rsidRPr="007D2CA8">
        <w:rPr>
          <w:spacing w:val="-4"/>
        </w:rPr>
        <w:t>i</w:t>
      </w:r>
      <w:r w:rsidRPr="007D2CA8">
        <w:rPr>
          <w:spacing w:val="-4"/>
        </w:rPr>
        <w:t>catori</w:t>
      </w:r>
    </w:p>
    <w:tbl>
      <w:tblPr>
        <w:tblW w:w="5000" w:type="pct"/>
        <w:jc w:val="center"/>
        <w:tblCellMar>
          <w:left w:w="70" w:type="dxa"/>
          <w:right w:w="70" w:type="dxa"/>
        </w:tblCellMar>
        <w:tblLook w:val="00A0"/>
      </w:tblPr>
      <w:tblGrid>
        <w:gridCol w:w="1071"/>
        <w:gridCol w:w="546"/>
        <w:gridCol w:w="545"/>
        <w:gridCol w:w="545"/>
        <w:gridCol w:w="493"/>
        <w:gridCol w:w="545"/>
        <w:gridCol w:w="545"/>
        <w:gridCol w:w="545"/>
        <w:gridCol w:w="625"/>
        <w:gridCol w:w="575"/>
        <w:gridCol w:w="505"/>
        <w:gridCol w:w="505"/>
        <w:gridCol w:w="545"/>
        <w:gridCol w:w="550"/>
      </w:tblGrid>
      <w:tr w:rsidR="00060976" w:rsidRPr="007D2CA8" w:rsidTr="00060976">
        <w:trPr>
          <w:trHeight w:val="315"/>
          <w:jc w:val="center"/>
        </w:trPr>
        <w:tc>
          <w:tcPr>
            <w:tcW w:w="657" w:type="pct"/>
            <w:tcBorders>
              <w:top w:val="single" w:sz="8" w:space="0" w:color="auto"/>
              <w:left w:val="single" w:sz="8" w:space="0" w:color="auto"/>
              <w:bottom w:val="single" w:sz="8" w:space="0" w:color="auto"/>
              <w:right w:val="single" w:sz="8" w:space="0" w:color="000000"/>
            </w:tcBorders>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Indicatore</w:t>
            </w:r>
          </w:p>
        </w:tc>
        <w:tc>
          <w:tcPr>
            <w:tcW w:w="335" w:type="pct"/>
            <w:tcBorders>
              <w:top w:val="single" w:sz="8" w:space="0" w:color="auto"/>
              <w:left w:val="single" w:sz="8" w:space="0" w:color="auto"/>
              <w:bottom w:val="single" w:sz="8" w:space="0" w:color="auto"/>
              <w:right w:val="single" w:sz="8" w:space="0" w:color="000000"/>
            </w:tcBorders>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IF.1</w:t>
            </w:r>
          </w:p>
        </w:tc>
        <w:tc>
          <w:tcPr>
            <w:tcW w:w="335" w:type="pct"/>
            <w:tcBorders>
              <w:top w:val="single" w:sz="8" w:space="0" w:color="auto"/>
              <w:left w:val="nil"/>
              <w:bottom w:val="single" w:sz="8" w:space="0" w:color="auto"/>
              <w:right w:val="single" w:sz="8" w:space="0" w:color="000000"/>
            </w:tcBorders>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IF.2</w:t>
            </w:r>
          </w:p>
        </w:tc>
        <w:tc>
          <w:tcPr>
            <w:tcW w:w="335" w:type="pct"/>
            <w:tcBorders>
              <w:top w:val="single" w:sz="8" w:space="0" w:color="auto"/>
              <w:left w:val="nil"/>
              <w:bottom w:val="single" w:sz="8" w:space="0" w:color="auto"/>
              <w:right w:val="single" w:sz="8" w:space="0" w:color="000000"/>
            </w:tcBorders>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IF.3</w:t>
            </w:r>
          </w:p>
        </w:tc>
        <w:tc>
          <w:tcPr>
            <w:tcW w:w="303" w:type="pct"/>
            <w:tcBorders>
              <w:top w:val="single" w:sz="8" w:space="0" w:color="auto"/>
              <w:left w:val="nil"/>
              <w:bottom w:val="single" w:sz="8" w:space="0" w:color="auto"/>
              <w:right w:val="single" w:sz="8" w:space="0" w:color="000000"/>
            </w:tcBorders>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IF.4</w:t>
            </w:r>
          </w:p>
        </w:tc>
        <w:tc>
          <w:tcPr>
            <w:tcW w:w="335" w:type="pct"/>
            <w:tcBorders>
              <w:top w:val="single" w:sz="8" w:space="0" w:color="auto"/>
              <w:left w:val="nil"/>
              <w:bottom w:val="single" w:sz="8" w:space="0" w:color="auto"/>
              <w:right w:val="single" w:sz="8" w:space="0" w:color="000000"/>
            </w:tcBorders>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IF.5</w:t>
            </w:r>
          </w:p>
        </w:tc>
        <w:tc>
          <w:tcPr>
            <w:tcW w:w="335" w:type="pct"/>
            <w:tcBorders>
              <w:top w:val="single" w:sz="8" w:space="0" w:color="auto"/>
              <w:left w:val="nil"/>
              <w:bottom w:val="single" w:sz="8" w:space="0" w:color="auto"/>
              <w:right w:val="single" w:sz="8" w:space="0" w:color="000000"/>
            </w:tcBorders>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IF.6</w:t>
            </w:r>
          </w:p>
        </w:tc>
        <w:tc>
          <w:tcPr>
            <w:tcW w:w="335" w:type="pct"/>
            <w:tcBorders>
              <w:top w:val="single" w:sz="8" w:space="0" w:color="auto"/>
              <w:left w:val="nil"/>
              <w:bottom w:val="single" w:sz="8" w:space="0" w:color="auto"/>
              <w:right w:val="single" w:sz="8" w:space="0" w:color="000000"/>
            </w:tcBorders>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IF.8</w:t>
            </w:r>
          </w:p>
        </w:tc>
        <w:tc>
          <w:tcPr>
            <w:tcW w:w="384" w:type="pct"/>
            <w:tcBorders>
              <w:top w:val="single" w:sz="8" w:space="0" w:color="auto"/>
              <w:left w:val="nil"/>
              <w:bottom w:val="single" w:sz="8" w:space="0" w:color="auto"/>
              <w:right w:val="single" w:sz="8" w:space="0" w:color="000000"/>
            </w:tcBorders>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IF.9</w:t>
            </w:r>
          </w:p>
        </w:tc>
        <w:tc>
          <w:tcPr>
            <w:tcW w:w="353" w:type="pct"/>
            <w:tcBorders>
              <w:top w:val="single" w:sz="8" w:space="0" w:color="auto"/>
              <w:left w:val="nil"/>
              <w:bottom w:val="single" w:sz="8" w:space="0" w:color="auto"/>
              <w:right w:val="single" w:sz="8" w:space="0" w:color="000000"/>
            </w:tcBorders>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IF.11</w:t>
            </w:r>
          </w:p>
        </w:tc>
        <w:tc>
          <w:tcPr>
            <w:tcW w:w="310" w:type="pct"/>
            <w:tcBorders>
              <w:top w:val="single" w:sz="8" w:space="0" w:color="auto"/>
              <w:left w:val="nil"/>
              <w:bottom w:val="single" w:sz="8" w:space="0" w:color="auto"/>
              <w:right w:val="single" w:sz="8" w:space="0" w:color="000000"/>
            </w:tcBorders>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IG.1</w:t>
            </w:r>
          </w:p>
        </w:tc>
        <w:tc>
          <w:tcPr>
            <w:tcW w:w="310" w:type="pct"/>
            <w:tcBorders>
              <w:top w:val="single" w:sz="8" w:space="0" w:color="auto"/>
              <w:left w:val="nil"/>
              <w:bottom w:val="single" w:sz="8" w:space="0" w:color="auto"/>
              <w:right w:val="single" w:sz="8" w:space="0" w:color="000000"/>
            </w:tcBorders>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IG.2</w:t>
            </w:r>
          </w:p>
        </w:tc>
        <w:tc>
          <w:tcPr>
            <w:tcW w:w="335" w:type="pct"/>
            <w:tcBorders>
              <w:top w:val="single" w:sz="8" w:space="0" w:color="auto"/>
              <w:left w:val="nil"/>
              <w:bottom w:val="single" w:sz="8" w:space="0" w:color="auto"/>
              <w:right w:val="single" w:sz="8" w:space="0" w:color="000000"/>
            </w:tcBorders>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AI.1</w:t>
            </w:r>
          </w:p>
        </w:tc>
        <w:tc>
          <w:tcPr>
            <w:tcW w:w="339" w:type="pct"/>
            <w:tcBorders>
              <w:top w:val="single" w:sz="8" w:space="0" w:color="auto"/>
              <w:left w:val="nil"/>
              <w:bottom w:val="single" w:sz="8" w:space="0" w:color="auto"/>
              <w:right w:val="single" w:sz="8" w:space="0" w:color="000000"/>
            </w:tcBorders>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AI.2</w:t>
            </w:r>
          </w:p>
        </w:tc>
      </w:tr>
      <w:tr w:rsidR="00060976" w:rsidRPr="007D2CA8" w:rsidTr="00060976">
        <w:trPr>
          <w:trHeight w:val="315"/>
          <w:jc w:val="center"/>
        </w:trPr>
        <w:tc>
          <w:tcPr>
            <w:tcW w:w="657" w:type="pct"/>
            <w:tcBorders>
              <w:top w:val="single" w:sz="8" w:space="0" w:color="auto"/>
              <w:left w:val="single" w:sz="8" w:space="0" w:color="auto"/>
              <w:bottom w:val="single" w:sz="8" w:space="0" w:color="auto"/>
              <w:right w:val="single" w:sz="8" w:space="0" w:color="000000"/>
            </w:tcBorders>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N. Relazi</w:t>
            </w:r>
            <w:r w:rsidRPr="007D2CA8">
              <w:rPr>
                <w:rFonts w:ascii="Garamond" w:hAnsi="Garamond"/>
                <w:color w:val="000000"/>
                <w:spacing w:val="-4"/>
                <w:sz w:val="20"/>
                <w:szCs w:val="20"/>
              </w:rPr>
              <w:t>o</w:t>
            </w:r>
            <w:r w:rsidRPr="007D2CA8">
              <w:rPr>
                <w:rFonts w:ascii="Garamond" w:hAnsi="Garamond"/>
                <w:color w:val="000000"/>
                <w:spacing w:val="-4"/>
                <w:sz w:val="20"/>
                <w:szCs w:val="20"/>
              </w:rPr>
              <w:t>ni</w:t>
            </w:r>
          </w:p>
        </w:tc>
        <w:tc>
          <w:tcPr>
            <w:tcW w:w="335" w:type="pct"/>
            <w:tcBorders>
              <w:top w:val="single" w:sz="8" w:space="0" w:color="auto"/>
              <w:left w:val="single" w:sz="8" w:space="0" w:color="auto"/>
              <w:bottom w:val="single" w:sz="8" w:space="0" w:color="auto"/>
              <w:right w:val="single" w:sz="8" w:space="0" w:color="000000"/>
            </w:tcBorders>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19</w:t>
            </w:r>
          </w:p>
        </w:tc>
        <w:tc>
          <w:tcPr>
            <w:tcW w:w="335" w:type="pct"/>
            <w:tcBorders>
              <w:top w:val="single" w:sz="8" w:space="0" w:color="auto"/>
              <w:left w:val="nil"/>
              <w:bottom w:val="single" w:sz="8" w:space="0" w:color="auto"/>
              <w:right w:val="single" w:sz="8" w:space="0" w:color="000000"/>
            </w:tcBorders>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11</w:t>
            </w:r>
          </w:p>
        </w:tc>
        <w:tc>
          <w:tcPr>
            <w:tcW w:w="335" w:type="pct"/>
            <w:tcBorders>
              <w:top w:val="single" w:sz="8" w:space="0" w:color="auto"/>
              <w:left w:val="nil"/>
              <w:bottom w:val="single" w:sz="8" w:space="0" w:color="auto"/>
              <w:right w:val="single" w:sz="8" w:space="0" w:color="000000"/>
            </w:tcBorders>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7</w:t>
            </w:r>
          </w:p>
        </w:tc>
        <w:tc>
          <w:tcPr>
            <w:tcW w:w="303" w:type="pct"/>
            <w:tcBorders>
              <w:top w:val="single" w:sz="8" w:space="0" w:color="auto"/>
              <w:left w:val="nil"/>
              <w:bottom w:val="single" w:sz="8" w:space="0" w:color="auto"/>
              <w:right w:val="single" w:sz="8" w:space="0" w:color="000000"/>
            </w:tcBorders>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5</w:t>
            </w:r>
          </w:p>
        </w:tc>
        <w:tc>
          <w:tcPr>
            <w:tcW w:w="335" w:type="pct"/>
            <w:tcBorders>
              <w:top w:val="single" w:sz="8" w:space="0" w:color="auto"/>
              <w:left w:val="nil"/>
              <w:bottom w:val="single" w:sz="8" w:space="0" w:color="auto"/>
              <w:right w:val="single" w:sz="8" w:space="0" w:color="000000"/>
            </w:tcBorders>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38*</w:t>
            </w:r>
          </w:p>
        </w:tc>
        <w:tc>
          <w:tcPr>
            <w:tcW w:w="335" w:type="pct"/>
            <w:tcBorders>
              <w:top w:val="single" w:sz="8" w:space="0" w:color="auto"/>
              <w:left w:val="nil"/>
              <w:bottom w:val="single" w:sz="8" w:space="0" w:color="auto"/>
              <w:right w:val="single" w:sz="8" w:space="0" w:color="000000"/>
            </w:tcBorders>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49</w:t>
            </w:r>
          </w:p>
        </w:tc>
        <w:tc>
          <w:tcPr>
            <w:tcW w:w="335" w:type="pct"/>
            <w:tcBorders>
              <w:top w:val="single" w:sz="8" w:space="0" w:color="auto"/>
              <w:left w:val="nil"/>
              <w:bottom w:val="single" w:sz="8" w:space="0" w:color="auto"/>
              <w:right w:val="single" w:sz="8" w:space="0" w:color="000000"/>
            </w:tcBorders>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36**</w:t>
            </w:r>
          </w:p>
        </w:tc>
        <w:tc>
          <w:tcPr>
            <w:tcW w:w="384" w:type="pct"/>
            <w:tcBorders>
              <w:top w:val="single" w:sz="8" w:space="0" w:color="auto"/>
              <w:left w:val="nil"/>
              <w:bottom w:val="single" w:sz="8" w:space="0" w:color="auto"/>
              <w:right w:val="single" w:sz="8" w:space="0" w:color="000000"/>
            </w:tcBorders>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25***</w:t>
            </w:r>
          </w:p>
        </w:tc>
        <w:tc>
          <w:tcPr>
            <w:tcW w:w="353" w:type="pct"/>
            <w:tcBorders>
              <w:top w:val="single" w:sz="8" w:space="0" w:color="auto"/>
              <w:left w:val="nil"/>
              <w:bottom w:val="single" w:sz="8" w:space="0" w:color="auto"/>
              <w:right w:val="single" w:sz="8" w:space="0" w:color="000000"/>
            </w:tcBorders>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9</w:t>
            </w:r>
          </w:p>
        </w:tc>
        <w:tc>
          <w:tcPr>
            <w:tcW w:w="310" w:type="pct"/>
            <w:tcBorders>
              <w:top w:val="single" w:sz="8" w:space="0" w:color="auto"/>
              <w:left w:val="nil"/>
              <w:bottom w:val="single" w:sz="8" w:space="0" w:color="auto"/>
              <w:right w:val="single" w:sz="8" w:space="0" w:color="000000"/>
            </w:tcBorders>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1</w:t>
            </w:r>
          </w:p>
        </w:tc>
        <w:tc>
          <w:tcPr>
            <w:tcW w:w="310" w:type="pct"/>
            <w:tcBorders>
              <w:top w:val="single" w:sz="8" w:space="0" w:color="auto"/>
              <w:left w:val="nil"/>
              <w:bottom w:val="single" w:sz="8" w:space="0" w:color="auto"/>
              <w:right w:val="single" w:sz="8" w:space="0" w:color="000000"/>
            </w:tcBorders>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1</w:t>
            </w:r>
          </w:p>
        </w:tc>
        <w:tc>
          <w:tcPr>
            <w:tcW w:w="335" w:type="pct"/>
            <w:tcBorders>
              <w:top w:val="single" w:sz="8" w:space="0" w:color="auto"/>
              <w:left w:val="nil"/>
              <w:bottom w:val="single" w:sz="8" w:space="0" w:color="auto"/>
              <w:right w:val="single" w:sz="8" w:space="0" w:color="000000"/>
            </w:tcBorders>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22</w:t>
            </w:r>
          </w:p>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w:t>
            </w:r>
          </w:p>
        </w:tc>
        <w:tc>
          <w:tcPr>
            <w:tcW w:w="339" w:type="pct"/>
            <w:tcBorders>
              <w:top w:val="single" w:sz="8" w:space="0" w:color="auto"/>
              <w:left w:val="nil"/>
              <w:bottom w:val="single" w:sz="8" w:space="0" w:color="auto"/>
              <w:right w:val="single" w:sz="8" w:space="0" w:color="000000"/>
            </w:tcBorders>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13</w:t>
            </w:r>
          </w:p>
        </w:tc>
      </w:tr>
      <w:tr w:rsidR="00060976" w:rsidRPr="007D2CA8" w:rsidTr="00060976">
        <w:trPr>
          <w:trHeight w:val="315"/>
          <w:jc w:val="center"/>
        </w:trPr>
        <w:tc>
          <w:tcPr>
            <w:tcW w:w="657" w:type="pct"/>
            <w:tcBorders>
              <w:top w:val="single" w:sz="8" w:space="0" w:color="auto"/>
              <w:left w:val="single" w:sz="8" w:space="0" w:color="auto"/>
              <w:bottom w:val="single" w:sz="8" w:space="0" w:color="auto"/>
              <w:right w:val="single" w:sz="8" w:space="0" w:color="000000"/>
            </w:tcBorders>
          </w:tcPr>
          <w:p w:rsidR="00060976" w:rsidRPr="007D2CA8" w:rsidRDefault="00060976" w:rsidP="005C4253">
            <w:pPr>
              <w:jc w:val="center"/>
              <w:rPr>
                <w:rFonts w:ascii="Garamond" w:hAnsi="Garamond"/>
                <w:bCs/>
                <w:color w:val="000000"/>
                <w:spacing w:val="-4"/>
                <w:sz w:val="20"/>
                <w:szCs w:val="20"/>
              </w:rPr>
            </w:pPr>
            <w:r w:rsidRPr="007D2CA8">
              <w:rPr>
                <w:rFonts w:ascii="Garamond" w:hAnsi="Garamond"/>
                <w:bCs/>
                <w:color w:val="000000"/>
                <w:spacing w:val="-4"/>
                <w:sz w:val="20"/>
                <w:szCs w:val="20"/>
              </w:rPr>
              <w:t>%</w:t>
            </w:r>
          </w:p>
        </w:tc>
        <w:tc>
          <w:tcPr>
            <w:tcW w:w="335" w:type="pct"/>
            <w:tcBorders>
              <w:top w:val="single" w:sz="8" w:space="0" w:color="auto"/>
              <w:left w:val="single" w:sz="8" w:space="0" w:color="auto"/>
              <w:bottom w:val="single" w:sz="8" w:space="0" w:color="auto"/>
              <w:right w:val="single" w:sz="8" w:space="0" w:color="000000"/>
            </w:tcBorders>
            <w:noWrap/>
            <w:vAlign w:val="bottom"/>
          </w:tcPr>
          <w:p w:rsidR="00060976" w:rsidRPr="007D2CA8" w:rsidRDefault="00060976" w:rsidP="005C4253">
            <w:pPr>
              <w:jc w:val="center"/>
              <w:rPr>
                <w:rFonts w:ascii="Garamond" w:hAnsi="Garamond"/>
                <w:bCs/>
                <w:color w:val="000000"/>
                <w:spacing w:val="-4"/>
                <w:sz w:val="20"/>
                <w:szCs w:val="20"/>
              </w:rPr>
            </w:pPr>
            <w:r w:rsidRPr="007D2CA8">
              <w:rPr>
                <w:rFonts w:ascii="Garamond" w:hAnsi="Garamond"/>
                <w:bCs/>
                <w:color w:val="000000"/>
                <w:spacing w:val="-4"/>
                <w:sz w:val="20"/>
                <w:szCs w:val="20"/>
              </w:rPr>
              <w:t>31%</w:t>
            </w:r>
          </w:p>
        </w:tc>
        <w:tc>
          <w:tcPr>
            <w:tcW w:w="335" w:type="pct"/>
            <w:tcBorders>
              <w:top w:val="single" w:sz="8" w:space="0" w:color="auto"/>
              <w:left w:val="nil"/>
              <w:bottom w:val="single" w:sz="8" w:space="0" w:color="auto"/>
              <w:right w:val="single" w:sz="8" w:space="0" w:color="000000"/>
            </w:tcBorders>
            <w:noWrap/>
            <w:vAlign w:val="bottom"/>
          </w:tcPr>
          <w:p w:rsidR="00060976" w:rsidRPr="007D2CA8" w:rsidRDefault="00060976" w:rsidP="005C4253">
            <w:pPr>
              <w:jc w:val="center"/>
              <w:rPr>
                <w:rFonts w:ascii="Garamond" w:hAnsi="Garamond"/>
                <w:bCs/>
                <w:color w:val="000000"/>
                <w:spacing w:val="-4"/>
                <w:sz w:val="20"/>
                <w:szCs w:val="20"/>
              </w:rPr>
            </w:pPr>
            <w:r w:rsidRPr="007D2CA8">
              <w:rPr>
                <w:rFonts w:ascii="Garamond" w:hAnsi="Garamond"/>
                <w:bCs/>
                <w:color w:val="000000"/>
                <w:spacing w:val="-4"/>
                <w:sz w:val="20"/>
                <w:szCs w:val="20"/>
              </w:rPr>
              <w:t>18%</w:t>
            </w:r>
          </w:p>
        </w:tc>
        <w:tc>
          <w:tcPr>
            <w:tcW w:w="335" w:type="pct"/>
            <w:tcBorders>
              <w:top w:val="single" w:sz="8" w:space="0" w:color="auto"/>
              <w:left w:val="nil"/>
              <w:bottom w:val="single" w:sz="8" w:space="0" w:color="auto"/>
              <w:right w:val="single" w:sz="8" w:space="0" w:color="000000"/>
            </w:tcBorders>
            <w:noWrap/>
            <w:vAlign w:val="bottom"/>
          </w:tcPr>
          <w:p w:rsidR="00060976" w:rsidRPr="007D2CA8" w:rsidRDefault="00060976" w:rsidP="005C4253">
            <w:pPr>
              <w:jc w:val="center"/>
              <w:rPr>
                <w:rFonts w:ascii="Garamond" w:hAnsi="Garamond"/>
                <w:bCs/>
                <w:color w:val="000000"/>
                <w:spacing w:val="-4"/>
                <w:sz w:val="20"/>
                <w:szCs w:val="20"/>
              </w:rPr>
            </w:pPr>
            <w:r w:rsidRPr="007D2CA8">
              <w:rPr>
                <w:rFonts w:ascii="Garamond" w:hAnsi="Garamond"/>
                <w:bCs/>
                <w:color w:val="000000"/>
                <w:spacing w:val="-4"/>
                <w:sz w:val="20"/>
                <w:szCs w:val="20"/>
              </w:rPr>
              <w:t>11%</w:t>
            </w:r>
          </w:p>
        </w:tc>
        <w:tc>
          <w:tcPr>
            <w:tcW w:w="303" w:type="pct"/>
            <w:tcBorders>
              <w:top w:val="single" w:sz="8" w:space="0" w:color="auto"/>
              <w:left w:val="nil"/>
              <w:bottom w:val="single" w:sz="8" w:space="0" w:color="auto"/>
              <w:right w:val="single" w:sz="8" w:space="0" w:color="000000"/>
            </w:tcBorders>
            <w:noWrap/>
            <w:vAlign w:val="bottom"/>
          </w:tcPr>
          <w:p w:rsidR="00060976" w:rsidRPr="007D2CA8" w:rsidRDefault="00060976" w:rsidP="005C4253">
            <w:pPr>
              <w:jc w:val="center"/>
              <w:rPr>
                <w:rFonts w:ascii="Garamond" w:hAnsi="Garamond"/>
                <w:bCs/>
                <w:color w:val="000000"/>
                <w:spacing w:val="-4"/>
                <w:sz w:val="20"/>
                <w:szCs w:val="20"/>
              </w:rPr>
            </w:pPr>
            <w:r w:rsidRPr="007D2CA8">
              <w:rPr>
                <w:rFonts w:ascii="Garamond" w:hAnsi="Garamond"/>
                <w:bCs/>
                <w:color w:val="000000"/>
                <w:spacing w:val="-4"/>
                <w:sz w:val="20"/>
                <w:szCs w:val="20"/>
              </w:rPr>
              <w:t>8%</w:t>
            </w:r>
          </w:p>
        </w:tc>
        <w:tc>
          <w:tcPr>
            <w:tcW w:w="335" w:type="pct"/>
            <w:tcBorders>
              <w:top w:val="single" w:sz="8" w:space="0" w:color="auto"/>
              <w:left w:val="nil"/>
              <w:bottom w:val="single" w:sz="8" w:space="0" w:color="auto"/>
              <w:right w:val="single" w:sz="8" w:space="0" w:color="000000"/>
            </w:tcBorders>
            <w:noWrap/>
            <w:vAlign w:val="bottom"/>
          </w:tcPr>
          <w:p w:rsidR="00060976" w:rsidRPr="007D2CA8" w:rsidRDefault="00060976" w:rsidP="005C4253">
            <w:pPr>
              <w:jc w:val="center"/>
              <w:rPr>
                <w:rFonts w:ascii="Garamond" w:hAnsi="Garamond"/>
                <w:bCs/>
                <w:color w:val="000000"/>
                <w:spacing w:val="-4"/>
                <w:sz w:val="20"/>
                <w:szCs w:val="20"/>
              </w:rPr>
            </w:pPr>
            <w:r w:rsidRPr="007D2CA8">
              <w:rPr>
                <w:rFonts w:ascii="Garamond" w:hAnsi="Garamond"/>
                <w:bCs/>
                <w:color w:val="000000"/>
                <w:spacing w:val="-4"/>
                <w:sz w:val="20"/>
                <w:szCs w:val="20"/>
              </w:rPr>
              <w:t>62%</w:t>
            </w:r>
          </w:p>
        </w:tc>
        <w:tc>
          <w:tcPr>
            <w:tcW w:w="335" w:type="pct"/>
            <w:tcBorders>
              <w:top w:val="single" w:sz="8" w:space="0" w:color="auto"/>
              <w:left w:val="nil"/>
              <w:bottom w:val="single" w:sz="8" w:space="0" w:color="auto"/>
              <w:right w:val="single" w:sz="8" w:space="0" w:color="000000"/>
            </w:tcBorders>
            <w:noWrap/>
            <w:vAlign w:val="bottom"/>
          </w:tcPr>
          <w:p w:rsidR="00060976" w:rsidRPr="007D2CA8" w:rsidRDefault="00060976" w:rsidP="005C4253">
            <w:pPr>
              <w:jc w:val="center"/>
              <w:rPr>
                <w:rFonts w:ascii="Garamond" w:hAnsi="Garamond"/>
                <w:bCs/>
                <w:color w:val="000000"/>
                <w:spacing w:val="-4"/>
                <w:sz w:val="20"/>
                <w:szCs w:val="20"/>
              </w:rPr>
            </w:pPr>
            <w:r w:rsidRPr="007D2CA8">
              <w:rPr>
                <w:rFonts w:ascii="Garamond" w:hAnsi="Garamond"/>
                <w:bCs/>
                <w:color w:val="000000"/>
                <w:spacing w:val="-4"/>
                <w:sz w:val="20"/>
                <w:szCs w:val="20"/>
              </w:rPr>
              <w:t>80%</w:t>
            </w:r>
          </w:p>
        </w:tc>
        <w:tc>
          <w:tcPr>
            <w:tcW w:w="335" w:type="pct"/>
            <w:tcBorders>
              <w:top w:val="single" w:sz="8" w:space="0" w:color="auto"/>
              <w:left w:val="nil"/>
              <w:bottom w:val="single" w:sz="8" w:space="0" w:color="auto"/>
              <w:right w:val="single" w:sz="8" w:space="0" w:color="000000"/>
            </w:tcBorders>
            <w:noWrap/>
            <w:vAlign w:val="bottom"/>
          </w:tcPr>
          <w:p w:rsidR="00060976" w:rsidRPr="007D2CA8" w:rsidRDefault="00060976" w:rsidP="005C4253">
            <w:pPr>
              <w:jc w:val="center"/>
              <w:rPr>
                <w:rFonts w:ascii="Garamond" w:hAnsi="Garamond"/>
                <w:bCs/>
                <w:color w:val="000000"/>
                <w:spacing w:val="-4"/>
                <w:sz w:val="20"/>
                <w:szCs w:val="20"/>
              </w:rPr>
            </w:pPr>
            <w:r w:rsidRPr="007D2CA8">
              <w:rPr>
                <w:rFonts w:ascii="Garamond" w:hAnsi="Garamond"/>
                <w:bCs/>
                <w:color w:val="000000"/>
                <w:spacing w:val="-4"/>
                <w:sz w:val="20"/>
                <w:szCs w:val="20"/>
              </w:rPr>
              <w:t>59%</w:t>
            </w:r>
          </w:p>
        </w:tc>
        <w:tc>
          <w:tcPr>
            <w:tcW w:w="384" w:type="pct"/>
            <w:tcBorders>
              <w:top w:val="single" w:sz="8" w:space="0" w:color="auto"/>
              <w:left w:val="nil"/>
              <w:bottom w:val="single" w:sz="8" w:space="0" w:color="auto"/>
              <w:right w:val="single" w:sz="8" w:space="0" w:color="000000"/>
            </w:tcBorders>
            <w:noWrap/>
            <w:vAlign w:val="bottom"/>
          </w:tcPr>
          <w:p w:rsidR="00060976" w:rsidRPr="007D2CA8" w:rsidRDefault="00060976" w:rsidP="005C4253">
            <w:pPr>
              <w:jc w:val="center"/>
              <w:rPr>
                <w:rFonts w:ascii="Garamond" w:hAnsi="Garamond"/>
                <w:bCs/>
                <w:color w:val="000000"/>
                <w:spacing w:val="-4"/>
                <w:sz w:val="20"/>
                <w:szCs w:val="20"/>
              </w:rPr>
            </w:pPr>
            <w:r w:rsidRPr="007D2CA8">
              <w:rPr>
                <w:rFonts w:ascii="Garamond" w:hAnsi="Garamond"/>
                <w:bCs/>
                <w:color w:val="000000"/>
                <w:spacing w:val="-4"/>
                <w:sz w:val="20"/>
                <w:szCs w:val="20"/>
              </w:rPr>
              <w:t>41%</w:t>
            </w:r>
          </w:p>
        </w:tc>
        <w:tc>
          <w:tcPr>
            <w:tcW w:w="353" w:type="pct"/>
            <w:tcBorders>
              <w:top w:val="single" w:sz="8" w:space="0" w:color="auto"/>
              <w:left w:val="nil"/>
              <w:bottom w:val="single" w:sz="8" w:space="0" w:color="auto"/>
              <w:right w:val="single" w:sz="8" w:space="0" w:color="000000"/>
            </w:tcBorders>
            <w:noWrap/>
            <w:vAlign w:val="bottom"/>
          </w:tcPr>
          <w:p w:rsidR="00060976" w:rsidRPr="007D2CA8" w:rsidRDefault="00060976" w:rsidP="005C4253">
            <w:pPr>
              <w:jc w:val="center"/>
              <w:rPr>
                <w:rFonts w:ascii="Garamond" w:hAnsi="Garamond"/>
                <w:bCs/>
                <w:color w:val="000000"/>
                <w:spacing w:val="-4"/>
                <w:sz w:val="20"/>
                <w:szCs w:val="20"/>
              </w:rPr>
            </w:pPr>
            <w:r w:rsidRPr="007D2CA8">
              <w:rPr>
                <w:rFonts w:ascii="Garamond" w:hAnsi="Garamond"/>
                <w:bCs/>
                <w:color w:val="000000"/>
                <w:spacing w:val="-4"/>
                <w:sz w:val="20"/>
                <w:szCs w:val="20"/>
              </w:rPr>
              <w:t>15%</w:t>
            </w:r>
          </w:p>
        </w:tc>
        <w:tc>
          <w:tcPr>
            <w:tcW w:w="310" w:type="pct"/>
            <w:tcBorders>
              <w:top w:val="single" w:sz="8" w:space="0" w:color="auto"/>
              <w:left w:val="nil"/>
              <w:bottom w:val="single" w:sz="8" w:space="0" w:color="auto"/>
              <w:right w:val="single" w:sz="8" w:space="0" w:color="000000"/>
            </w:tcBorders>
            <w:noWrap/>
            <w:vAlign w:val="bottom"/>
          </w:tcPr>
          <w:p w:rsidR="00060976" w:rsidRPr="007D2CA8" w:rsidRDefault="00060976" w:rsidP="005C4253">
            <w:pPr>
              <w:jc w:val="center"/>
              <w:rPr>
                <w:rFonts w:ascii="Garamond" w:hAnsi="Garamond"/>
                <w:bCs/>
                <w:color w:val="000000"/>
                <w:spacing w:val="-4"/>
                <w:sz w:val="20"/>
                <w:szCs w:val="20"/>
              </w:rPr>
            </w:pPr>
            <w:r w:rsidRPr="007D2CA8">
              <w:rPr>
                <w:rFonts w:ascii="Garamond" w:hAnsi="Garamond"/>
                <w:bCs/>
                <w:color w:val="000000"/>
                <w:spacing w:val="-4"/>
                <w:sz w:val="20"/>
                <w:szCs w:val="20"/>
              </w:rPr>
              <w:t>2%</w:t>
            </w:r>
          </w:p>
        </w:tc>
        <w:tc>
          <w:tcPr>
            <w:tcW w:w="310" w:type="pct"/>
            <w:tcBorders>
              <w:top w:val="single" w:sz="8" w:space="0" w:color="auto"/>
              <w:left w:val="nil"/>
              <w:bottom w:val="single" w:sz="8" w:space="0" w:color="auto"/>
              <w:right w:val="single" w:sz="8" w:space="0" w:color="000000"/>
            </w:tcBorders>
            <w:noWrap/>
            <w:vAlign w:val="bottom"/>
          </w:tcPr>
          <w:p w:rsidR="00060976" w:rsidRPr="007D2CA8" w:rsidRDefault="00060976" w:rsidP="005C4253">
            <w:pPr>
              <w:jc w:val="center"/>
              <w:rPr>
                <w:rFonts w:ascii="Garamond" w:hAnsi="Garamond"/>
                <w:bCs/>
                <w:color w:val="000000"/>
                <w:spacing w:val="-4"/>
                <w:sz w:val="20"/>
                <w:szCs w:val="20"/>
              </w:rPr>
            </w:pPr>
            <w:r w:rsidRPr="007D2CA8">
              <w:rPr>
                <w:rFonts w:ascii="Garamond" w:hAnsi="Garamond"/>
                <w:bCs/>
                <w:color w:val="000000"/>
                <w:spacing w:val="-4"/>
                <w:sz w:val="20"/>
                <w:szCs w:val="20"/>
              </w:rPr>
              <w:t>2%</w:t>
            </w:r>
          </w:p>
        </w:tc>
        <w:tc>
          <w:tcPr>
            <w:tcW w:w="335" w:type="pct"/>
            <w:tcBorders>
              <w:top w:val="single" w:sz="8" w:space="0" w:color="auto"/>
              <w:left w:val="nil"/>
              <w:bottom w:val="single" w:sz="8" w:space="0" w:color="auto"/>
              <w:right w:val="single" w:sz="8" w:space="0" w:color="000000"/>
            </w:tcBorders>
            <w:noWrap/>
            <w:vAlign w:val="bottom"/>
          </w:tcPr>
          <w:p w:rsidR="00060976" w:rsidRPr="007D2CA8" w:rsidRDefault="00060976" w:rsidP="005C4253">
            <w:pPr>
              <w:jc w:val="center"/>
              <w:rPr>
                <w:rFonts w:ascii="Garamond" w:hAnsi="Garamond"/>
                <w:bCs/>
                <w:color w:val="000000"/>
                <w:spacing w:val="-4"/>
                <w:sz w:val="20"/>
                <w:szCs w:val="20"/>
              </w:rPr>
            </w:pPr>
            <w:r w:rsidRPr="007D2CA8">
              <w:rPr>
                <w:rFonts w:ascii="Garamond" w:hAnsi="Garamond"/>
                <w:bCs/>
                <w:color w:val="000000"/>
                <w:spacing w:val="-4"/>
                <w:sz w:val="20"/>
                <w:szCs w:val="20"/>
              </w:rPr>
              <w:t>36%</w:t>
            </w:r>
          </w:p>
        </w:tc>
        <w:tc>
          <w:tcPr>
            <w:tcW w:w="339" w:type="pct"/>
            <w:tcBorders>
              <w:top w:val="single" w:sz="8" w:space="0" w:color="auto"/>
              <w:left w:val="nil"/>
              <w:bottom w:val="single" w:sz="8" w:space="0" w:color="auto"/>
              <w:right w:val="single" w:sz="8" w:space="0" w:color="000000"/>
            </w:tcBorders>
            <w:noWrap/>
            <w:vAlign w:val="bottom"/>
          </w:tcPr>
          <w:p w:rsidR="00060976" w:rsidRPr="007D2CA8" w:rsidRDefault="00060976" w:rsidP="005C4253">
            <w:pPr>
              <w:jc w:val="center"/>
              <w:rPr>
                <w:rFonts w:ascii="Garamond" w:hAnsi="Garamond"/>
                <w:bCs/>
                <w:color w:val="000000"/>
                <w:spacing w:val="-4"/>
                <w:sz w:val="20"/>
                <w:szCs w:val="20"/>
              </w:rPr>
            </w:pPr>
            <w:r w:rsidRPr="007D2CA8">
              <w:rPr>
                <w:rFonts w:ascii="Garamond" w:hAnsi="Garamond"/>
                <w:bCs/>
                <w:color w:val="000000"/>
                <w:spacing w:val="-4"/>
                <w:sz w:val="20"/>
                <w:szCs w:val="20"/>
              </w:rPr>
              <w:t>21%</w:t>
            </w:r>
          </w:p>
        </w:tc>
      </w:tr>
      <w:tr w:rsidR="00060976" w:rsidRPr="007D2CA8" w:rsidTr="005C4253">
        <w:trPr>
          <w:trHeight w:val="315"/>
          <w:jc w:val="center"/>
        </w:trPr>
        <w:tc>
          <w:tcPr>
            <w:tcW w:w="5000" w:type="pct"/>
            <w:gridSpan w:val="14"/>
            <w:tcBorders>
              <w:top w:val="single" w:sz="8" w:space="0" w:color="auto"/>
              <w:left w:val="single" w:sz="8" w:space="0" w:color="auto"/>
              <w:bottom w:val="single" w:sz="8" w:space="0" w:color="auto"/>
              <w:right w:val="single" w:sz="8" w:space="0" w:color="000000"/>
            </w:tcBorders>
          </w:tcPr>
          <w:p w:rsidR="00060976" w:rsidRPr="007D2CA8" w:rsidRDefault="00060976" w:rsidP="005C4253">
            <w:pPr>
              <w:pStyle w:val="Testonotaapidipagina"/>
              <w:ind w:left="142" w:hanging="142"/>
              <w:jc w:val="both"/>
              <w:rPr>
                <w:rFonts w:ascii="Garamond" w:hAnsi="Garamond"/>
                <w:spacing w:val="-4"/>
                <w:sz w:val="18"/>
                <w:szCs w:val="18"/>
              </w:rPr>
            </w:pPr>
            <w:r w:rsidRPr="007D2CA8">
              <w:rPr>
                <w:rFonts w:ascii="Garamond" w:hAnsi="Garamond"/>
                <w:spacing w:val="-4"/>
                <w:sz w:val="18"/>
                <w:szCs w:val="18"/>
              </w:rPr>
              <w:t>* 39 indicatori rilevati ma in una relazione è stato rilevato sia un indicatore quantitativo che qualitativo riferiti a circ</w:t>
            </w:r>
            <w:r w:rsidRPr="007D2CA8">
              <w:rPr>
                <w:rFonts w:ascii="Garamond" w:hAnsi="Garamond"/>
                <w:spacing w:val="-4"/>
                <w:sz w:val="18"/>
                <w:szCs w:val="18"/>
              </w:rPr>
              <w:t>o</w:t>
            </w:r>
            <w:r w:rsidRPr="007D2CA8">
              <w:rPr>
                <w:rFonts w:ascii="Garamond" w:hAnsi="Garamond"/>
                <w:spacing w:val="-4"/>
                <w:sz w:val="18"/>
                <w:szCs w:val="18"/>
              </w:rPr>
              <w:t>stanze diverse.</w:t>
            </w:r>
          </w:p>
          <w:p w:rsidR="00060976" w:rsidRPr="007D2CA8" w:rsidRDefault="00060976" w:rsidP="005C4253">
            <w:pPr>
              <w:pStyle w:val="Testonotaapidipagina"/>
              <w:jc w:val="both"/>
              <w:rPr>
                <w:rFonts w:ascii="Garamond" w:hAnsi="Garamond"/>
                <w:spacing w:val="-4"/>
                <w:sz w:val="18"/>
                <w:szCs w:val="18"/>
              </w:rPr>
            </w:pPr>
            <w:r w:rsidRPr="007D2CA8">
              <w:rPr>
                <w:rFonts w:ascii="Garamond" w:hAnsi="Garamond"/>
                <w:spacing w:val="-4"/>
                <w:sz w:val="18"/>
                <w:szCs w:val="18"/>
              </w:rPr>
              <w:t>** 42 indicatori rilevati ma in 6 relazioni è stato rilevato sia un indicatore quantitativo che qualitativo riferiti a circ</w:t>
            </w:r>
            <w:r w:rsidRPr="007D2CA8">
              <w:rPr>
                <w:rFonts w:ascii="Garamond" w:hAnsi="Garamond"/>
                <w:spacing w:val="-4"/>
                <w:sz w:val="18"/>
                <w:szCs w:val="18"/>
              </w:rPr>
              <w:t>o</w:t>
            </w:r>
            <w:r w:rsidRPr="007D2CA8">
              <w:rPr>
                <w:rFonts w:ascii="Garamond" w:hAnsi="Garamond"/>
                <w:spacing w:val="-4"/>
                <w:sz w:val="18"/>
                <w:szCs w:val="18"/>
              </w:rPr>
              <w:t>stanze diverse.</w:t>
            </w:r>
          </w:p>
          <w:p w:rsidR="00060976" w:rsidRPr="007D2CA8" w:rsidRDefault="00060976" w:rsidP="005C4253">
            <w:pPr>
              <w:pStyle w:val="Testonotaapidipagina"/>
              <w:jc w:val="both"/>
              <w:rPr>
                <w:rFonts w:ascii="Garamond" w:hAnsi="Garamond"/>
                <w:spacing w:val="-4"/>
                <w:sz w:val="18"/>
                <w:szCs w:val="18"/>
              </w:rPr>
            </w:pPr>
            <w:r w:rsidRPr="007D2CA8">
              <w:rPr>
                <w:rFonts w:ascii="Garamond" w:hAnsi="Garamond"/>
                <w:spacing w:val="-4"/>
                <w:sz w:val="18"/>
                <w:szCs w:val="18"/>
              </w:rPr>
              <w:t>*** 28 indicatori rilevati ma in 3 relazioni è stato rilevato sia un indicatore quantitativo che qualitativo riferiti a circ</w:t>
            </w:r>
            <w:r w:rsidRPr="007D2CA8">
              <w:rPr>
                <w:rFonts w:ascii="Garamond" w:hAnsi="Garamond"/>
                <w:spacing w:val="-4"/>
                <w:sz w:val="18"/>
                <w:szCs w:val="18"/>
              </w:rPr>
              <w:t>o</w:t>
            </w:r>
            <w:r w:rsidRPr="007D2CA8">
              <w:rPr>
                <w:rFonts w:ascii="Garamond" w:hAnsi="Garamond"/>
                <w:spacing w:val="-4"/>
                <w:sz w:val="18"/>
                <w:szCs w:val="18"/>
              </w:rPr>
              <w:t>stanze diverse.</w:t>
            </w:r>
          </w:p>
          <w:p w:rsidR="00060976" w:rsidRPr="007D2CA8" w:rsidRDefault="00060976" w:rsidP="005C4253">
            <w:pPr>
              <w:pStyle w:val="Testonotaapidipagina"/>
              <w:jc w:val="both"/>
              <w:rPr>
                <w:rFonts w:ascii="Garamond" w:hAnsi="Garamond"/>
                <w:spacing w:val="-4"/>
              </w:rPr>
            </w:pPr>
            <w:r w:rsidRPr="007D2CA8">
              <w:rPr>
                <w:rFonts w:ascii="Garamond" w:hAnsi="Garamond"/>
                <w:spacing w:val="-4"/>
                <w:sz w:val="18"/>
                <w:szCs w:val="18"/>
              </w:rPr>
              <w:t>**** 24 indicatori rilevati ma in 22 relazioni è stato rilevato sia un indicatore quantitativo che qualitativo riferiti a circ</w:t>
            </w:r>
            <w:r w:rsidRPr="007D2CA8">
              <w:rPr>
                <w:rFonts w:ascii="Garamond" w:hAnsi="Garamond"/>
                <w:spacing w:val="-4"/>
                <w:sz w:val="18"/>
                <w:szCs w:val="18"/>
              </w:rPr>
              <w:t>o</w:t>
            </w:r>
            <w:r w:rsidRPr="007D2CA8">
              <w:rPr>
                <w:rFonts w:ascii="Garamond" w:hAnsi="Garamond"/>
                <w:spacing w:val="-4"/>
                <w:sz w:val="18"/>
                <w:szCs w:val="18"/>
              </w:rPr>
              <w:t>stanze diverse.</w:t>
            </w:r>
          </w:p>
        </w:tc>
      </w:tr>
    </w:tbl>
    <w:p w:rsidR="00BD3051" w:rsidRPr="007D2CA8" w:rsidRDefault="00BD3051" w:rsidP="005B7C49">
      <w:pPr>
        <w:pStyle w:val="AElencoTrattini"/>
        <w:widowControl/>
        <w:numPr>
          <w:ilvl w:val="0"/>
          <w:numId w:val="0"/>
        </w:numPr>
        <w:ind w:left="624" w:hanging="284"/>
        <w:rPr>
          <w:noProof/>
          <w:spacing w:val="-4"/>
          <w:lang w:val="it-IT"/>
        </w:rPr>
      </w:pPr>
    </w:p>
    <w:p w:rsidR="00060976" w:rsidRPr="007D2CA8" w:rsidRDefault="00060976" w:rsidP="005B7C49">
      <w:pPr>
        <w:pStyle w:val="AElencoTrattini"/>
        <w:widowControl/>
        <w:numPr>
          <w:ilvl w:val="0"/>
          <w:numId w:val="0"/>
        </w:numPr>
        <w:ind w:left="624" w:hanging="284"/>
        <w:rPr>
          <w:noProof/>
          <w:spacing w:val="-4"/>
          <w:lang w:val="it-IT"/>
        </w:rPr>
      </w:pPr>
    </w:p>
    <w:p w:rsidR="00024F4F" w:rsidRPr="007D2CA8" w:rsidRDefault="00024F4F" w:rsidP="005B7C49">
      <w:pPr>
        <w:pStyle w:val="ATesto"/>
        <w:widowControl/>
        <w:rPr>
          <w:noProof/>
          <w:spacing w:val="-4"/>
          <w:lang w:val="it-IT"/>
        </w:rPr>
      </w:pPr>
      <w:r w:rsidRPr="007D2CA8">
        <w:rPr>
          <w:noProof/>
          <w:spacing w:val="-4"/>
          <w:lang w:val="it-IT"/>
        </w:rPr>
        <w:t>Se andiamo ad analizzare il peso qualitativo e quantitativo degli indicatori, così come esposto in Tabella 4, notiamo come il 60% dei 248 indicatori rilevati nel periodo di osservazione 2004 - 2011 sia espresso in termini quantitativi. Di questi, tra gli indicatori più utilizzati si nota come il risultato d’esercizio negativo (IF.6), sia per lo più descritto in via quantitativa (86%), così come la posizione finanziaria netta negativa (IF.5) che raggiunge l’82%. La presenza di scaduti (IF.8), invece mostra un sostanziale equilibrio tra descrizione quantitativa (50%) e qualitativa (50%). Non ci sono indicatori utilizzati solo in termini quantitativi, mentre tre indicatori sono espressi solo in termini qualitativi, in particolare: Indicazioni di cessazione del sostegno finanziario da parte dei finanziatori e altri creditori (IF.3), Perdita di amministratori o di dirigenti chiave senza riuscire a sostituirli (IG.1) e Perdita di mercati fondamentali, di contratti di distribuzione, di concessioni o di fornitori importanti (IG.2.).</w:t>
      </w:r>
    </w:p>
    <w:p w:rsidR="007D2CA8" w:rsidRPr="007D2CA8" w:rsidRDefault="007D2CA8" w:rsidP="00060976">
      <w:pPr>
        <w:pStyle w:val="ATitoloTabella"/>
        <w:rPr>
          <w:noProof/>
          <w:spacing w:val="-4"/>
        </w:rPr>
      </w:pPr>
    </w:p>
    <w:p w:rsidR="00060976" w:rsidRPr="007D2CA8" w:rsidRDefault="00060976" w:rsidP="00060976">
      <w:pPr>
        <w:pStyle w:val="ATitoloTabella"/>
        <w:spacing w:line="360" w:lineRule="auto"/>
        <w:rPr>
          <w:spacing w:val="-4"/>
        </w:rPr>
      </w:pPr>
      <w:r w:rsidRPr="007D2CA8">
        <w:rPr>
          <w:spacing w:val="-4"/>
        </w:rPr>
        <w:t>Tabella 4: Peso quali/quantitativo degli indicatori</w:t>
      </w:r>
    </w:p>
    <w:tbl>
      <w:tblPr>
        <w:tblW w:w="5068" w:type="dxa"/>
        <w:jc w:val="center"/>
        <w:tblInd w:w="70" w:type="dxa"/>
        <w:tblCellMar>
          <w:left w:w="70" w:type="dxa"/>
          <w:right w:w="70" w:type="dxa"/>
        </w:tblCellMar>
        <w:tblLook w:val="00A0"/>
      </w:tblPr>
      <w:tblGrid>
        <w:gridCol w:w="1560"/>
        <w:gridCol w:w="2268"/>
        <w:gridCol w:w="500"/>
        <w:gridCol w:w="740"/>
      </w:tblGrid>
      <w:tr w:rsidR="00060976" w:rsidRPr="007D2CA8" w:rsidTr="005C4253">
        <w:trPr>
          <w:trHeight w:val="315"/>
          <w:jc w:val="center"/>
        </w:trPr>
        <w:tc>
          <w:tcPr>
            <w:tcW w:w="1560" w:type="dxa"/>
            <w:vMerge w:val="restart"/>
            <w:tcBorders>
              <w:top w:val="single" w:sz="4" w:space="0" w:color="auto"/>
              <w:left w:val="single" w:sz="4" w:space="0" w:color="auto"/>
              <w:bottom w:val="nil"/>
              <w:right w:val="nil"/>
            </w:tcBorders>
            <w:noWrap/>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IF.1</w:t>
            </w:r>
          </w:p>
        </w:tc>
        <w:tc>
          <w:tcPr>
            <w:tcW w:w="2268" w:type="dxa"/>
            <w:tcBorders>
              <w:top w:val="single" w:sz="4" w:space="0" w:color="auto"/>
              <w:left w:val="nil"/>
              <w:bottom w:val="nil"/>
              <w:right w:val="nil"/>
            </w:tcBorders>
            <w:noWrap/>
            <w:vAlign w:val="bottom"/>
          </w:tcPr>
          <w:p w:rsidR="00060976" w:rsidRPr="007D2CA8" w:rsidRDefault="00060976" w:rsidP="005C4253">
            <w:pPr>
              <w:rPr>
                <w:rFonts w:ascii="Garamond" w:hAnsi="Garamond"/>
                <w:color w:val="000000"/>
                <w:spacing w:val="-4"/>
                <w:sz w:val="20"/>
                <w:szCs w:val="20"/>
              </w:rPr>
            </w:pPr>
            <w:r w:rsidRPr="007D2CA8">
              <w:rPr>
                <w:rFonts w:ascii="Garamond" w:hAnsi="Garamond"/>
                <w:color w:val="000000"/>
                <w:spacing w:val="-4"/>
                <w:sz w:val="20"/>
                <w:szCs w:val="20"/>
              </w:rPr>
              <w:t>quantitativo</w:t>
            </w:r>
          </w:p>
        </w:tc>
        <w:tc>
          <w:tcPr>
            <w:tcW w:w="500" w:type="dxa"/>
            <w:tcBorders>
              <w:top w:val="single" w:sz="4" w:space="0" w:color="auto"/>
              <w:left w:val="nil"/>
              <w:bottom w:val="nil"/>
              <w:right w:val="nil"/>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17</w:t>
            </w:r>
          </w:p>
        </w:tc>
        <w:tc>
          <w:tcPr>
            <w:tcW w:w="740" w:type="dxa"/>
            <w:tcBorders>
              <w:top w:val="single" w:sz="4" w:space="0" w:color="auto"/>
              <w:left w:val="nil"/>
              <w:bottom w:val="nil"/>
              <w:right w:val="single" w:sz="4" w:space="0" w:color="auto"/>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89%</w:t>
            </w:r>
          </w:p>
        </w:tc>
      </w:tr>
      <w:tr w:rsidR="00060976" w:rsidRPr="007D2CA8" w:rsidTr="005C4253">
        <w:trPr>
          <w:trHeight w:val="315"/>
          <w:jc w:val="center"/>
        </w:trPr>
        <w:tc>
          <w:tcPr>
            <w:tcW w:w="1560" w:type="dxa"/>
            <w:vMerge/>
            <w:tcBorders>
              <w:top w:val="nil"/>
              <w:left w:val="single" w:sz="4" w:space="0" w:color="auto"/>
              <w:bottom w:val="single" w:sz="4" w:space="0" w:color="auto"/>
              <w:right w:val="nil"/>
            </w:tcBorders>
            <w:vAlign w:val="center"/>
          </w:tcPr>
          <w:p w:rsidR="00060976" w:rsidRPr="007D2CA8" w:rsidRDefault="00060976" w:rsidP="005C4253">
            <w:pPr>
              <w:rPr>
                <w:rFonts w:ascii="Garamond" w:hAnsi="Garamond"/>
                <w:color w:val="000000"/>
                <w:spacing w:val="-4"/>
                <w:sz w:val="20"/>
                <w:szCs w:val="20"/>
              </w:rPr>
            </w:pPr>
          </w:p>
        </w:tc>
        <w:tc>
          <w:tcPr>
            <w:tcW w:w="2268" w:type="dxa"/>
            <w:tcBorders>
              <w:top w:val="nil"/>
              <w:left w:val="nil"/>
              <w:bottom w:val="single" w:sz="4" w:space="0" w:color="auto"/>
              <w:right w:val="nil"/>
            </w:tcBorders>
            <w:noWrap/>
            <w:vAlign w:val="bottom"/>
          </w:tcPr>
          <w:p w:rsidR="00060976" w:rsidRPr="007D2CA8" w:rsidRDefault="00060976" w:rsidP="005C4253">
            <w:pPr>
              <w:rPr>
                <w:rFonts w:ascii="Garamond" w:hAnsi="Garamond"/>
                <w:color w:val="000000"/>
                <w:spacing w:val="-4"/>
                <w:sz w:val="20"/>
                <w:szCs w:val="20"/>
              </w:rPr>
            </w:pPr>
            <w:r w:rsidRPr="007D2CA8">
              <w:rPr>
                <w:rFonts w:ascii="Garamond" w:hAnsi="Garamond"/>
                <w:color w:val="000000"/>
                <w:spacing w:val="-4"/>
                <w:sz w:val="20"/>
                <w:szCs w:val="20"/>
              </w:rPr>
              <w:t>qualitativo</w:t>
            </w:r>
          </w:p>
        </w:tc>
        <w:tc>
          <w:tcPr>
            <w:tcW w:w="500" w:type="dxa"/>
            <w:tcBorders>
              <w:top w:val="nil"/>
              <w:left w:val="nil"/>
              <w:bottom w:val="single" w:sz="4" w:space="0" w:color="auto"/>
              <w:right w:val="nil"/>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2</w:t>
            </w:r>
          </w:p>
        </w:tc>
        <w:tc>
          <w:tcPr>
            <w:tcW w:w="740" w:type="dxa"/>
            <w:tcBorders>
              <w:top w:val="nil"/>
              <w:left w:val="nil"/>
              <w:bottom w:val="single" w:sz="4" w:space="0" w:color="auto"/>
              <w:right w:val="single" w:sz="4" w:space="0" w:color="auto"/>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11%</w:t>
            </w:r>
          </w:p>
        </w:tc>
      </w:tr>
      <w:tr w:rsidR="00060976" w:rsidRPr="007D2CA8" w:rsidTr="005C4253">
        <w:trPr>
          <w:trHeight w:val="315"/>
          <w:jc w:val="center"/>
        </w:trPr>
        <w:tc>
          <w:tcPr>
            <w:tcW w:w="1560" w:type="dxa"/>
            <w:vMerge w:val="restart"/>
            <w:tcBorders>
              <w:top w:val="single" w:sz="4" w:space="0" w:color="auto"/>
              <w:left w:val="single" w:sz="4" w:space="0" w:color="auto"/>
              <w:bottom w:val="nil"/>
              <w:right w:val="nil"/>
            </w:tcBorders>
            <w:noWrap/>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IF.2</w:t>
            </w:r>
          </w:p>
        </w:tc>
        <w:tc>
          <w:tcPr>
            <w:tcW w:w="2268" w:type="dxa"/>
            <w:tcBorders>
              <w:top w:val="single" w:sz="4" w:space="0" w:color="auto"/>
              <w:left w:val="nil"/>
              <w:bottom w:val="nil"/>
              <w:right w:val="nil"/>
            </w:tcBorders>
            <w:noWrap/>
            <w:vAlign w:val="bottom"/>
          </w:tcPr>
          <w:p w:rsidR="00060976" w:rsidRPr="007D2CA8" w:rsidRDefault="00060976" w:rsidP="005C4253">
            <w:pPr>
              <w:rPr>
                <w:rFonts w:ascii="Garamond" w:hAnsi="Garamond"/>
                <w:color w:val="000000"/>
                <w:spacing w:val="-4"/>
                <w:sz w:val="20"/>
                <w:szCs w:val="20"/>
              </w:rPr>
            </w:pPr>
            <w:r w:rsidRPr="007D2CA8">
              <w:rPr>
                <w:rFonts w:ascii="Garamond" w:hAnsi="Garamond"/>
                <w:color w:val="000000"/>
                <w:spacing w:val="-4"/>
                <w:sz w:val="20"/>
                <w:szCs w:val="20"/>
              </w:rPr>
              <w:t>quantitativo</w:t>
            </w:r>
          </w:p>
        </w:tc>
        <w:tc>
          <w:tcPr>
            <w:tcW w:w="500" w:type="dxa"/>
            <w:tcBorders>
              <w:top w:val="single" w:sz="4" w:space="0" w:color="auto"/>
              <w:left w:val="nil"/>
              <w:bottom w:val="nil"/>
              <w:right w:val="nil"/>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7</w:t>
            </w:r>
          </w:p>
        </w:tc>
        <w:tc>
          <w:tcPr>
            <w:tcW w:w="740" w:type="dxa"/>
            <w:tcBorders>
              <w:top w:val="single" w:sz="4" w:space="0" w:color="auto"/>
              <w:left w:val="nil"/>
              <w:bottom w:val="nil"/>
              <w:right w:val="single" w:sz="4" w:space="0" w:color="auto"/>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64%</w:t>
            </w:r>
          </w:p>
        </w:tc>
      </w:tr>
      <w:tr w:rsidR="00060976" w:rsidRPr="007D2CA8" w:rsidTr="005C4253">
        <w:trPr>
          <w:trHeight w:val="315"/>
          <w:jc w:val="center"/>
        </w:trPr>
        <w:tc>
          <w:tcPr>
            <w:tcW w:w="1560" w:type="dxa"/>
            <w:vMerge/>
            <w:tcBorders>
              <w:top w:val="nil"/>
              <w:left w:val="single" w:sz="4" w:space="0" w:color="auto"/>
              <w:bottom w:val="single" w:sz="4" w:space="0" w:color="auto"/>
              <w:right w:val="nil"/>
            </w:tcBorders>
            <w:vAlign w:val="center"/>
          </w:tcPr>
          <w:p w:rsidR="00060976" w:rsidRPr="007D2CA8" w:rsidRDefault="00060976" w:rsidP="005C4253">
            <w:pPr>
              <w:rPr>
                <w:rFonts w:ascii="Garamond" w:hAnsi="Garamond"/>
                <w:color w:val="000000"/>
                <w:spacing w:val="-4"/>
                <w:sz w:val="20"/>
                <w:szCs w:val="20"/>
              </w:rPr>
            </w:pPr>
          </w:p>
        </w:tc>
        <w:tc>
          <w:tcPr>
            <w:tcW w:w="2268" w:type="dxa"/>
            <w:tcBorders>
              <w:top w:val="nil"/>
              <w:left w:val="nil"/>
              <w:bottom w:val="single" w:sz="4" w:space="0" w:color="auto"/>
              <w:right w:val="nil"/>
            </w:tcBorders>
            <w:noWrap/>
            <w:vAlign w:val="bottom"/>
          </w:tcPr>
          <w:p w:rsidR="00060976" w:rsidRPr="007D2CA8" w:rsidRDefault="00060976" w:rsidP="005C4253">
            <w:pPr>
              <w:rPr>
                <w:rFonts w:ascii="Garamond" w:hAnsi="Garamond"/>
                <w:color w:val="000000"/>
                <w:spacing w:val="-4"/>
                <w:sz w:val="20"/>
                <w:szCs w:val="20"/>
              </w:rPr>
            </w:pPr>
            <w:r w:rsidRPr="007D2CA8">
              <w:rPr>
                <w:rFonts w:ascii="Garamond" w:hAnsi="Garamond"/>
                <w:color w:val="000000"/>
                <w:spacing w:val="-4"/>
                <w:sz w:val="20"/>
                <w:szCs w:val="20"/>
              </w:rPr>
              <w:t>qualitativo</w:t>
            </w:r>
          </w:p>
        </w:tc>
        <w:tc>
          <w:tcPr>
            <w:tcW w:w="500" w:type="dxa"/>
            <w:tcBorders>
              <w:top w:val="nil"/>
              <w:left w:val="nil"/>
              <w:bottom w:val="single" w:sz="4" w:space="0" w:color="auto"/>
              <w:right w:val="nil"/>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4</w:t>
            </w:r>
          </w:p>
        </w:tc>
        <w:tc>
          <w:tcPr>
            <w:tcW w:w="740" w:type="dxa"/>
            <w:tcBorders>
              <w:top w:val="nil"/>
              <w:left w:val="nil"/>
              <w:bottom w:val="single" w:sz="4" w:space="0" w:color="auto"/>
              <w:right w:val="single" w:sz="4" w:space="0" w:color="auto"/>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36%</w:t>
            </w:r>
          </w:p>
        </w:tc>
      </w:tr>
      <w:tr w:rsidR="00060976" w:rsidRPr="007D2CA8" w:rsidTr="005C4253">
        <w:trPr>
          <w:trHeight w:val="315"/>
          <w:jc w:val="center"/>
        </w:trPr>
        <w:tc>
          <w:tcPr>
            <w:tcW w:w="1560" w:type="dxa"/>
            <w:vMerge w:val="restart"/>
            <w:tcBorders>
              <w:top w:val="single" w:sz="4" w:space="0" w:color="auto"/>
              <w:left w:val="single" w:sz="4" w:space="0" w:color="auto"/>
              <w:bottom w:val="nil"/>
              <w:right w:val="nil"/>
            </w:tcBorders>
            <w:noWrap/>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IF.3</w:t>
            </w:r>
          </w:p>
        </w:tc>
        <w:tc>
          <w:tcPr>
            <w:tcW w:w="2268" w:type="dxa"/>
            <w:tcBorders>
              <w:top w:val="single" w:sz="4" w:space="0" w:color="auto"/>
              <w:left w:val="nil"/>
              <w:bottom w:val="nil"/>
              <w:right w:val="nil"/>
            </w:tcBorders>
            <w:noWrap/>
            <w:vAlign w:val="bottom"/>
          </w:tcPr>
          <w:p w:rsidR="00060976" w:rsidRPr="007D2CA8" w:rsidRDefault="00060976" w:rsidP="005C4253">
            <w:pPr>
              <w:rPr>
                <w:rFonts w:ascii="Garamond" w:hAnsi="Garamond"/>
                <w:color w:val="000000"/>
                <w:spacing w:val="-4"/>
                <w:sz w:val="20"/>
                <w:szCs w:val="20"/>
              </w:rPr>
            </w:pPr>
            <w:r w:rsidRPr="007D2CA8">
              <w:rPr>
                <w:rFonts w:ascii="Garamond" w:hAnsi="Garamond"/>
                <w:color w:val="000000"/>
                <w:spacing w:val="-4"/>
                <w:sz w:val="20"/>
                <w:szCs w:val="20"/>
              </w:rPr>
              <w:t>quantitativo</w:t>
            </w:r>
          </w:p>
        </w:tc>
        <w:tc>
          <w:tcPr>
            <w:tcW w:w="500" w:type="dxa"/>
            <w:tcBorders>
              <w:top w:val="single" w:sz="4" w:space="0" w:color="auto"/>
              <w:left w:val="nil"/>
              <w:bottom w:val="nil"/>
              <w:right w:val="nil"/>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0</w:t>
            </w:r>
          </w:p>
        </w:tc>
        <w:tc>
          <w:tcPr>
            <w:tcW w:w="740" w:type="dxa"/>
            <w:tcBorders>
              <w:top w:val="single" w:sz="4" w:space="0" w:color="auto"/>
              <w:left w:val="nil"/>
              <w:bottom w:val="nil"/>
              <w:right w:val="single" w:sz="4" w:space="0" w:color="auto"/>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0%</w:t>
            </w:r>
          </w:p>
        </w:tc>
      </w:tr>
      <w:tr w:rsidR="00060976" w:rsidRPr="007D2CA8" w:rsidTr="005C4253">
        <w:trPr>
          <w:trHeight w:val="315"/>
          <w:jc w:val="center"/>
        </w:trPr>
        <w:tc>
          <w:tcPr>
            <w:tcW w:w="1560" w:type="dxa"/>
            <w:vMerge/>
            <w:tcBorders>
              <w:top w:val="nil"/>
              <w:left w:val="single" w:sz="4" w:space="0" w:color="auto"/>
              <w:bottom w:val="single" w:sz="4" w:space="0" w:color="auto"/>
              <w:right w:val="nil"/>
            </w:tcBorders>
            <w:vAlign w:val="center"/>
          </w:tcPr>
          <w:p w:rsidR="00060976" w:rsidRPr="007D2CA8" w:rsidRDefault="00060976" w:rsidP="005C4253">
            <w:pPr>
              <w:rPr>
                <w:rFonts w:ascii="Garamond" w:hAnsi="Garamond"/>
                <w:color w:val="000000"/>
                <w:spacing w:val="-4"/>
                <w:sz w:val="20"/>
                <w:szCs w:val="20"/>
              </w:rPr>
            </w:pPr>
          </w:p>
        </w:tc>
        <w:tc>
          <w:tcPr>
            <w:tcW w:w="2268" w:type="dxa"/>
            <w:tcBorders>
              <w:top w:val="nil"/>
              <w:left w:val="nil"/>
              <w:bottom w:val="single" w:sz="4" w:space="0" w:color="auto"/>
              <w:right w:val="nil"/>
            </w:tcBorders>
            <w:noWrap/>
            <w:vAlign w:val="bottom"/>
          </w:tcPr>
          <w:p w:rsidR="00060976" w:rsidRPr="007D2CA8" w:rsidRDefault="00060976" w:rsidP="005C4253">
            <w:pPr>
              <w:rPr>
                <w:rFonts w:ascii="Garamond" w:hAnsi="Garamond"/>
                <w:color w:val="000000"/>
                <w:spacing w:val="-4"/>
                <w:sz w:val="20"/>
                <w:szCs w:val="20"/>
              </w:rPr>
            </w:pPr>
            <w:r w:rsidRPr="007D2CA8">
              <w:rPr>
                <w:rFonts w:ascii="Garamond" w:hAnsi="Garamond"/>
                <w:color w:val="000000"/>
                <w:spacing w:val="-4"/>
                <w:sz w:val="20"/>
                <w:szCs w:val="20"/>
              </w:rPr>
              <w:t>qualitativo</w:t>
            </w:r>
          </w:p>
        </w:tc>
        <w:tc>
          <w:tcPr>
            <w:tcW w:w="500" w:type="dxa"/>
            <w:tcBorders>
              <w:top w:val="nil"/>
              <w:left w:val="nil"/>
              <w:bottom w:val="single" w:sz="4" w:space="0" w:color="auto"/>
              <w:right w:val="nil"/>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7</w:t>
            </w:r>
          </w:p>
        </w:tc>
        <w:tc>
          <w:tcPr>
            <w:tcW w:w="740" w:type="dxa"/>
            <w:tcBorders>
              <w:top w:val="nil"/>
              <w:left w:val="nil"/>
              <w:bottom w:val="single" w:sz="4" w:space="0" w:color="auto"/>
              <w:right w:val="single" w:sz="4" w:space="0" w:color="auto"/>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100%</w:t>
            </w:r>
          </w:p>
        </w:tc>
      </w:tr>
      <w:tr w:rsidR="00060976" w:rsidRPr="007D2CA8" w:rsidTr="005C4253">
        <w:trPr>
          <w:trHeight w:val="315"/>
          <w:jc w:val="center"/>
        </w:trPr>
        <w:tc>
          <w:tcPr>
            <w:tcW w:w="1560" w:type="dxa"/>
            <w:vMerge w:val="restart"/>
            <w:tcBorders>
              <w:top w:val="single" w:sz="4" w:space="0" w:color="auto"/>
              <w:left w:val="single" w:sz="4" w:space="0" w:color="auto"/>
              <w:bottom w:val="nil"/>
              <w:right w:val="nil"/>
            </w:tcBorders>
            <w:noWrap/>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IF.4</w:t>
            </w:r>
          </w:p>
        </w:tc>
        <w:tc>
          <w:tcPr>
            <w:tcW w:w="2268" w:type="dxa"/>
            <w:tcBorders>
              <w:top w:val="single" w:sz="4" w:space="0" w:color="auto"/>
              <w:left w:val="nil"/>
              <w:bottom w:val="nil"/>
              <w:right w:val="nil"/>
            </w:tcBorders>
            <w:noWrap/>
            <w:vAlign w:val="bottom"/>
          </w:tcPr>
          <w:p w:rsidR="00060976" w:rsidRPr="007D2CA8" w:rsidRDefault="00060976" w:rsidP="005C4253">
            <w:pPr>
              <w:rPr>
                <w:rFonts w:ascii="Garamond" w:hAnsi="Garamond"/>
                <w:color w:val="000000"/>
                <w:spacing w:val="-4"/>
                <w:sz w:val="20"/>
                <w:szCs w:val="20"/>
              </w:rPr>
            </w:pPr>
            <w:r w:rsidRPr="007D2CA8">
              <w:rPr>
                <w:rFonts w:ascii="Garamond" w:hAnsi="Garamond"/>
                <w:color w:val="000000"/>
                <w:spacing w:val="-4"/>
                <w:sz w:val="20"/>
                <w:szCs w:val="20"/>
              </w:rPr>
              <w:t>quantitativo</w:t>
            </w:r>
          </w:p>
        </w:tc>
        <w:tc>
          <w:tcPr>
            <w:tcW w:w="500" w:type="dxa"/>
            <w:tcBorders>
              <w:top w:val="single" w:sz="4" w:space="0" w:color="auto"/>
              <w:left w:val="nil"/>
              <w:bottom w:val="nil"/>
              <w:right w:val="nil"/>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1</w:t>
            </w:r>
          </w:p>
        </w:tc>
        <w:tc>
          <w:tcPr>
            <w:tcW w:w="740" w:type="dxa"/>
            <w:tcBorders>
              <w:top w:val="single" w:sz="4" w:space="0" w:color="auto"/>
              <w:left w:val="nil"/>
              <w:bottom w:val="nil"/>
              <w:right w:val="single" w:sz="4" w:space="0" w:color="auto"/>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20%</w:t>
            </w:r>
          </w:p>
        </w:tc>
      </w:tr>
      <w:tr w:rsidR="00060976" w:rsidRPr="007D2CA8" w:rsidTr="005C4253">
        <w:trPr>
          <w:trHeight w:val="315"/>
          <w:jc w:val="center"/>
        </w:trPr>
        <w:tc>
          <w:tcPr>
            <w:tcW w:w="1560" w:type="dxa"/>
            <w:vMerge/>
            <w:tcBorders>
              <w:top w:val="nil"/>
              <w:left w:val="single" w:sz="4" w:space="0" w:color="auto"/>
              <w:bottom w:val="single" w:sz="4" w:space="0" w:color="auto"/>
              <w:right w:val="nil"/>
            </w:tcBorders>
            <w:vAlign w:val="center"/>
          </w:tcPr>
          <w:p w:rsidR="00060976" w:rsidRPr="007D2CA8" w:rsidRDefault="00060976" w:rsidP="005C4253">
            <w:pPr>
              <w:rPr>
                <w:rFonts w:ascii="Garamond" w:hAnsi="Garamond"/>
                <w:color w:val="000000"/>
                <w:spacing w:val="-4"/>
                <w:sz w:val="20"/>
                <w:szCs w:val="20"/>
              </w:rPr>
            </w:pPr>
          </w:p>
        </w:tc>
        <w:tc>
          <w:tcPr>
            <w:tcW w:w="2268" w:type="dxa"/>
            <w:tcBorders>
              <w:top w:val="nil"/>
              <w:left w:val="nil"/>
              <w:bottom w:val="single" w:sz="4" w:space="0" w:color="auto"/>
              <w:right w:val="nil"/>
            </w:tcBorders>
            <w:noWrap/>
            <w:vAlign w:val="bottom"/>
          </w:tcPr>
          <w:p w:rsidR="00060976" w:rsidRPr="007D2CA8" w:rsidRDefault="00060976" w:rsidP="005C4253">
            <w:pPr>
              <w:rPr>
                <w:rFonts w:ascii="Garamond" w:hAnsi="Garamond"/>
                <w:color w:val="000000"/>
                <w:spacing w:val="-4"/>
                <w:sz w:val="20"/>
                <w:szCs w:val="20"/>
              </w:rPr>
            </w:pPr>
            <w:r w:rsidRPr="007D2CA8">
              <w:rPr>
                <w:rFonts w:ascii="Garamond" w:hAnsi="Garamond"/>
                <w:color w:val="000000"/>
                <w:spacing w:val="-4"/>
                <w:sz w:val="20"/>
                <w:szCs w:val="20"/>
              </w:rPr>
              <w:t>qualitativo</w:t>
            </w:r>
          </w:p>
        </w:tc>
        <w:tc>
          <w:tcPr>
            <w:tcW w:w="500" w:type="dxa"/>
            <w:tcBorders>
              <w:top w:val="nil"/>
              <w:left w:val="nil"/>
              <w:bottom w:val="single" w:sz="4" w:space="0" w:color="auto"/>
              <w:right w:val="nil"/>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4</w:t>
            </w:r>
          </w:p>
        </w:tc>
        <w:tc>
          <w:tcPr>
            <w:tcW w:w="740" w:type="dxa"/>
            <w:tcBorders>
              <w:top w:val="nil"/>
              <w:left w:val="nil"/>
              <w:bottom w:val="single" w:sz="4" w:space="0" w:color="auto"/>
              <w:right w:val="single" w:sz="4" w:space="0" w:color="auto"/>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80%</w:t>
            </w:r>
          </w:p>
        </w:tc>
      </w:tr>
      <w:tr w:rsidR="00060976" w:rsidRPr="007D2CA8" w:rsidTr="005C4253">
        <w:trPr>
          <w:trHeight w:val="315"/>
          <w:jc w:val="center"/>
        </w:trPr>
        <w:tc>
          <w:tcPr>
            <w:tcW w:w="1560" w:type="dxa"/>
            <w:vMerge w:val="restart"/>
            <w:tcBorders>
              <w:top w:val="single" w:sz="4" w:space="0" w:color="auto"/>
              <w:left w:val="single" w:sz="4" w:space="0" w:color="auto"/>
              <w:bottom w:val="nil"/>
              <w:right w:val="nil"/>
            </w:tcBorders>
            <w:noWrap/>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IF.5</w:t>
            </w:r>
          </w:p>
        </w:tc>
        <w:tc>
          <w:tcPr>
            <w:tcW w:w="2268" w:type="dxa"/>
            <w:tcBorders>
              <w:top w:val="single" w:sz="4" w:space="0" w:color="auto"/>
              <w:left w:val="nil"/>
              <w:bottom w:val="nil"/>
              <w:right w:val="nil"/>
            </w:tcBorders>
            <w:noWrap/>
            <w:vAlign w:val="bottom"/>
          </w:tcPr>
          <w:p w:rsidR="00060976" w:rsidRPr="007D2CA8" w:rsidRDefault="00060976" w:rsidP="005C4253">
            <w:pPr>
              <w:rPr>
                <w:rFonts w:ascii="Garamond" w:hAnsi="Garamond"/>
                <w:color w:val="000000"/>
                <w:spacing w:val="-4"/>
                <w:sz w:val="20"/>
                <w:szCs w:val="20"/>
              </w:rPr>
            </w:pPr>
            <w:r w:rsidRPr="007D2CA8">
              <w:rPr>
                <w:rFonts w:ascii="Garamond" w:hAnsi="Garamond"/>
                <w:color w:val="000000"/>
                <w:spacing w:val="-4"/>
                <w:sz w:val="20"/>
                <w:szCs w:val="20"/>
              </w:rPr>
              <w:t>quantitativo</w:t>
            </w:r>
          </w:p>
        </w:tc>
        <w:tc>
          <w:tcPr>
            <w:tcW w:w="500" w:type="dxa"/>
            <w:tcBorders>
              <w:top w:val="single" w:sz="4" w:space="0" w:color="auto"/>
              <w:left w:val="nil"/>
              <w:bottom w:val="nil"/>
              <w:right w:val="nil"/>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32</w:t>
            </w:r>
          </w:p>
        </w:tc>
        <w:tc>
          <w:tcPr>
            <w:tcW w:w="740" w:type="dxa"/>
            <w:tcBorders>
              <w:top w:val="single" w:sz="4" w:space="0" w:color="auto"/>
              <w:left w:val="nil"/>
              <w:bottom w:val="nil"/>
              <w:right w:val="single" w:sz="4" w:space="0" w:color="auto"/>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82%</w:t>
            </w:r>
          </w:p>
        </w:tc>
      </w:tr>
      <w:tr w:rsidR="00060976" w:rsidRPr="007D2CA8" w:rsidTr="005C4253">
        <w:trPr>
          <w:trHeight w:val="315"/>
          <w:jc w:val="center"/>
        </w:trPr>
        <w:tc>
          <w:tcPr>
            <w:tcW w:w="1560" w:type="dxa"/>
            <w:vMerge/>
            <w:tcBorders>
              <w:top w:val="nil"/>
              <w:left w:val="single" w:sz="4" w:space="0" w:color="auto"/>
              <w:bottom w:val="single" w:sz="4" w:space="0" w:color="auto"/>
              <w:right w:val="nil"/>
            </w:tcBorders>
            <w:vAlign w:val="center"/>
          </w:tcPr>
          <w:p w:rsidR="00060976" w:rsidRPr="007D2CA8" w:rsidRDefault="00060976" w:rsidP="005C4253">
            <w:pPr>
              <w:rPr>
                <w:rFonts w:ascii="Garamond" w:hAnsi="Garamond"/>
                <w:color w:val="000000"/>
                <w:spacing w:val="-4"/>
                <w:sz w:val="20"/>
                <w:szCs w:val="20"/>
              </w:rPr>
            </w:pPr>
          </w:p>
        </w:tc>
        <w:tc>
          <w:tcPr>
            <w:tcW w:w="2268" w:type="dxa"/>
            <w:tcBorders>
              <w:top w:val="nil"/>
              <w:left w:val="nil"/>
              <w:bottom w:val="single" w:sz="4" w:space="0" w:color="auto"/>
              <w:right w:val="nil"/>
            </w:tcBorders>
            <w:noWrap/>
            <w:vAlign w:val="bottom"/>
          </w:tcPr>
          <w:p w:rsidR="00060976" w:rsidRPr="007D2CA8" w:rsidRDefault="00060976" w:rsidP="005C4253">
            <w:pPr>
              <w:rPr>
                <w:rFonts w:ascii="Garamond" w:hAnsi="Garamond"/>
                <w:color w:val="000000"/>
                <w:spacing w:val="-4"/>
                <w:sz w:val="20"/>
                <w:szCs w:val="20"/>
              </w:rPr>
            </w:pPr>
            <w:r w:rsidRPr="007D2CA8">
              <w:rPr>
                <w:rFonts w:ascii="Garamond" w:hAnsi="Garamond"/>
                <w:color w:val="000000"/>
                <w:spacing w:val="-4"/>
                <w:sz w:val="20"/>
                <w:szCs w:val="20"/>
              </w:rPr>
              <w:t>qualitativo</w:t>
            </w:r>
          </w:p>
        </w:tc>
        <w:tc>
          <w:tcPr>
            <w:tcW w:w="500" w:type="dxa"/>
            <w:tcBorders>
              <w:top w:val="nil"/>
              <w:left w:val="nil"/>
              <w:bottom w:val="single" w:sz="4" w:space="0" w:color="auto"/>
              <w:right w:val="nil"/>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7</w:t>
            </w:r>
          </w:p>
        </w:tc>
        <w:tc>
          <w:tcPr>
            <w:tcW w:w="740" w:type="dxa"/>
            <w:tcBorders>
              <w:top w:val="nil"/>
              <w:left w:val="nil"/>
              <w:bottom w:val="single" w:sz="4" w:space="0" w:color="auto"/>
              <w:right w:val="single" w:sz="4" w:space="0" w:color="auto"/>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18%</w:t>
            </w:r>
          </w:p>
        </w:tc>
      </w:tr>
      <w:tr w:rsidR="00060976" w:rsidRPr="007D2CA8" w:rsidTr="005C4253">
        <w:trPr>
          <w:trHeight w:val="300"/>
          <w:jc w:val="center"/>
        </w:trPr>
        <w:tc>
          <w:tcPr>
            <w:tcW w:w="1560" w:type="dxa"/>
            <w:vMerge w:val="restart"/>
            <w:tcBorders>
              <w:top w:val="single" w:sz="4" w:space="0" w:color="auto"/>
              <w:left w:val="single" w:sz="4" w:space="0" w:color="auto"/>
              <w:bottom w:val="nil"/>
              <w:right w:val="nil"/>
            </w:tcBorders>
            <w:noWrap/>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IF.6</w:t>
            </w:r>
          </w:p>
        </w:tc>
        <w:tc>
          <w:tcPr>
            <w:tcW w:w="2268" w:type="dxa"/>
            <w:tcBorders>
              <w:top w:val="single" w:sz="4" w:space="0" w:color="auto"/>
              <w:left w:val="nil"/>
              <w:bottom w:val="nil"/>
              <w:right w:val="nil"/>
            </w:tcBorders>
            <w:noWrap/>
            <w:vAlign w:val="bottom"/>
          </w:tcPr>
          <w:p w:rsidR="00060976" w:rsidRPr="007D2CA8" w:rsidRDefault="00060976" w:rsidP="005C4253">
            <w:pPr>
              <w:rPr>
                <w:rFonts w:ascii="Garamond" w:hAnsi="Garamond"/>
                <w:color w:val="000000"/>
                <w:spacing w:val="-4"/>
                <w:sz w:val="20"/>
                <w:szCs w:val="20"/>
              </w:rPr>
            </w:pPr>
            <w:r w:rsidRPr="007D2CA8">
              <w:rPr>
                <w:rFonts w:ascii="Garamond" w:hAnsi="Garamond"/>
                <w:color w:val="000000"/>
                <w:spacing w:val="-4"/>
                <w:sz w:val="20"/>
                <w:szCs w:val="20"/>
              </w:rPr>
              <w:t>quantitativo</w:t>
            </w:r>
          </w:p>
        </w:tc>
        <w:tc>
          <w:tcPr>
            <w:tcW w:w="500" w:type="dxa"/>
            <w:tcBorders>
              <w:top w:val="single" w:sz="4" w:space="0" w:color="auto"/>
              <w:left w:val="nil"/>
              <w:bottom w:val="nil"/>
              <w:right w:val="nil"/>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42</w:t>
            </w:r>
          </w:p>
        </w:tc>
        <w:tc>
          <w:tcPr>
            <w:tcW w:w="740" w:type="dxa"/>
            <w:tcBorders>
              <w:top w:val="single" w:sz="4" w:space="0" w:color="auto"/>
              <w:left w:val="nil"/>
              <w:bottom w:val="nil"/>
              <w:right w:val="single" w:sz="4" w:space="0" w:color="auto"/>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86%</w:t>
            </w:r>
          </w:p>
        </w:tc>
      </w:tr>
      <w:tr w:rsidR="00060976" w:rsidRPr="007D2CA8" w:rsidTr="005C4253">
        <w:trPr>
          <w:trHeight w:val="253"/>
          <w:jc w:val="center"/>
        </w:trPr>
        <w:tc>
          <w:tcPr>
            <w:tcW w:w="1560" w:type="dxa"/>
            <w:vMerge/>
            <w:tcBorders>
              <w:top w:val="nil"/>
              <w:left w:val="single" w:sz="4" w:space="0" w:color="auto"/>
              <w:bottom w:val="single" w:sz="4" w:space="0" w:color="auto"/>
              <w:right w:val="nil"/>
            </w:tcBorders>
            <w:vAlign w:val="center"/>
          </w:tcPr>
          <w:p w:rsidR="00060976" w:rsidRPr="007D2CA8" w:rsidRDefault="00060976" w:rsidP="005C4253">
            <w:pPr>
              <w:rPr>
                <w:rFonts w:ascii="Garamond" w:hAnsi="Garamond"/>
                <w:color w:val="000000"/>
                <w:spacing w:val="-4"/>
                <w:sz w:val="20"/>
                <w:szCs w:val="20"/>
              </w:rPr>
            </w:pPr>
          </w:p>
        </w:tc>
        <w:tc>
          <w:tcPr>
            <w:tcW w:w="2268" w:type="dxa"/>
            <w:tcBorders>
              <w:top w:val="nil"/>
              <w:left w:val="nil"/>
              <w:bottom w:val="single" w:sz="4" w:space="0" w:color="auto"/>
              <w:right w:val="nil"/>
            </w:tcBorders>
            <w:noWrap/>
            <w:vAlign w:val="bottom"/>
          </w:tcPr>
          <w:p w:rsidR="00060976" w:rsidRPr="007D2CA8" w:rsidRDefault="00060976" w:rsidP="005C4253">
            <w:pPr>
              <w:rPr>
                <w:rFonts w:ascii="Garamond" w:hAnsi="Garamond"/>
                <w:color w:val="000000"/>
                <w:spacing w:val="-4"/>
                <w:sz w:val="20"/>
                <w:szCs w:val="20"/>
              </w:rPr>
            </w:pPr>
            <w:r w:rsidRPr="007D2CA8">
              <w:rPr>
                <w:rFonts w:ascii="Garamond" w:hAnsi="Garamond"/>
                <w:color w:val="000000"/>
                <w:spacing w:val="-4"/>
                <w:sz w:val="20"/>
                <w:szCs w:val="20"/>
              </w:rPr>
              <w:t>qualitativo</w:t>
            </w:r>
          </w:p>
        </w:tc>
        <w:tc>
          <w:tcPr>
            <w:tcW w:w="500" w:type="dxa"/>
            <w:tcBorders>
              <w:top w:val="nil"/>
              <w:left w:val="nil"/>
              <w:bottom w:val="single" w:sz="4" w:space="0" w:color="auto"/>
              <w:right w:val="nil"/>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7</w:t>
            </w:r>
          </w:p>
        </w:tc>
        <w:tc>
          <w:tcPr>
            <w:tcW w:w="740" w:type="dxa"/>
            <w:tcBorders>
              <w:top w:val="nil"/>
              <w:left w:val="nil"/>
              <w:bottom w:val="single" w:sz="4" w:space="0" w:color="auto"/>
              <w:right w:val="single" w:sz="4" w:space="0" w:color="auto"/>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14%</w:t>
            </w:r>
          </w:p>
        </w:tc>
      </w:tr>
      <w:tr w:rsidR="00060976" w:rsidRPr="007D2CA8" w:rsidTr="005C4253">
        <w:trPr>
          <w:trHeight w:val="300"/>
          <w:jc w:val="center"/>
        </w:trPr>
        <w:tc>
          <w:tcPr>
            <w:tcW w:w="1560" w:type="dxa"/>
            <w:vMerge w:val="restart"/>
            <w:tcBorders>
              <w:top w:val="single" w:sz="4" w:space="0" w:color="auto"/>
              <w:left w:val="single" w:sz="4" w:space="0" w:color="auto"/>
              <w:bottom w:val="nil"/>
              <w:right w:val="nil"/>
            </w:tcBorders>
            <w:noWrap/>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IF.8</w:t>
            </w:r>
          </w:p>
        </w:tc>
        <w:tc>
          <w:tcPr>
            <w:tcW w:w="2268" w:type="dxa"/>
            <w:tcBorders>
              <w:top w:val="single" w:sz="4" w:space="0" w:color="auto"/>
              <w:left w:val="nil"/>
              <w:bottom w:val="nil"/>
              <w:right w:val="nil"/>
            </w:tcBorders>
            <w:noWrap/>
            <w:vAlign w:val="bottom"/>
          </w:tcPr>
          <w:p w:rsidR="00060976" w:rsidRPr="007D2CA8" w:rsidRDefault="00060976" w:rsidP="005C4253">
            <w:pPr>
              <w:rPr>
                <w:rFonts w:ascii="Garamond" w:hAnsi="Garamond"/>
                <w:color w:val="000000"/>
                <w:spacing w:val="-4"/>
                <w:sz w:val="20"/>
                <w:szCs w:val="20"/>
              </w:rPr>
            </w:pPr>
            <w:r w:rsidRPr="007D2CA8">
              <w:rPr>
                <w:rFonts w:ascii="Garamond" w:hAnsi="Garamond"/>
                <w:color w:val="000000"/>
                <w:spacing w:val="-4"/>
                <w:sz w:val="20"/>
                <w:szCs w:val="20"/>
              </w:rPr>
              <w:t>quantitativo</w:t>
            </w:r>
          </w:p>
        </w:tc>
        <w:tc>
          <w:tcPr>
            <w:tcW w:w="500" w:type="dxa"/>
            <w:tcBorders>
              <w:top w:val="single" w:sz="4" w:space="0" w:color="auto"/>
              <w:left w:val="nil"/>
              <w:bottom w:val="nil"/>
              <w:right w:val="nil"/>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21</w:t>
            </w:r>
          </w:p>
        </w:tc>
        <w:tc>
          <w:tcPr>
            <w:tcW w:w="740" w:type="dxa"/>
            <w:tcBorders>
              <w:top w:val="single" w:sz="4" w:space="0" w:color="auto"/>
              <w:left w:val="nil"/>
              <w:bottom w:val="nil"/>
              <w:right w:val="single" w:sz="4" w:space="0" w:color="auto"/>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50%</w:t>
            </w:r>
          </w:p>
        </w:tc>
      </w:tr>
      <w:tr w:rsidR="00060976" w:rsidRPr="007D2CA8" w:rsidTr="005C4253">
        <w:trPr>
          <w:trHeight w:val="247"/>
          <w:jc w:val="center"/>
        </w:trPr>
        <w:tc>
          <w:tcPr>
            <w:tcW w:w="1560" w:type="dxa"/>
            <w:vMerge/>
            <w:tcBorders>
              <w:top w:val="nil"/>
              <w:left w:val="single" w:sz="4" w:space="0" w:color="auto"/>
              <w:bottom w:val="single" w:sz="4" w:space="0" w:color="auto"/>
              <w:right w:val="nil"/>
            </w:tcBorders>
            <w:vAlign w:val="center"/>
          </w:tcPr>
          <w:p w:rsidR="00060976" w:rsidRPr="007D2CA8" w:rsidRDefault="00060976" w:rsidP="005C4253">
            <w:pPr>
              <w:rPr>
                <w:rFonts w:ascii="Garamond" w:hAnsi="Garamond"/>
                <w:color w:val="000000"/>
                <w:spacing w:val="-4"/>
                <w:sz w:val="20"/>
                <w:szCs w:val="20"/>
              </w:rPr>
            </w:pPr>
          </w:p>
        </w:tc>
        <w:tc>
          <w:tcPr>
            <w:tcW w:w="2268" w:type="dxa"/>
            <w:tcBorders>
              <w:top w:val="nil"/>
              <w:left w:val="nil"/>
              <w:bottom w:val="single" w:sz="4" w:space="0" w:color="auto"/>
              <w:right w:val="nil"/>
            </w:tcBorders>
            <w:noWrap/>
            <w:vAlign w:val="bottom"/>
          </w:tcPr>
          <w:p w:rsidR="00060976" w:rsidRPr="007D2CA8" w:rsidRDefault="00060976" w:rsidP="005C4253">
            <w:pPr>
              <w:rPr>
                <w:rFonts w:ascii="Garamond" w:hAnsi="Garamond"/>
                <w:color w:val="000000"/>
                <w:spacing w:val="-4"/>
                <w:sz w:val="20"/>
                <w:szCs w:val="20"/>
              </w:rPr>
            </w:pPr>
            <w:r w:rsidRPr="007D2CA8">
              <w:rPr>
                <w:rFonts w:ascii="Garamond" w:hAnsi="Garamond"/>
                <w:color w:val="000000"/>
                <w:spacing w:val="-4"/>
                <w:sz w:val="20"/>
                <w:szCs w:val="20"/>
              </w:rPr>
              <w:t>qualitativo</w:t>
            </w:r>
          </w:p>
        </w:tc>
        <w:tc>
          <w:tcPr>
            <w:tcW w:w="500" w:type="dxa"/>
            <w:tcBorders>
              <w:top w:val="nil"/>
              <w:left w:val="nil"/>
              <w:bottom w:val="single" w:sz="4" w:space="0" w:color="auto"/>
              <w:right w:val="nil"/>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21</w:t>
            </w:r>
          </w:p>
        </w:tc>
        <w:tc>
          <w:tcPr>
            <w:tcW w:w="740" w:type="dxa"/>
            <w:tcBorders>
              <w:top w:val="nil"/>
              <w:left w:val="nil"/>
              <w:bottom w:val="single" w:sz="4" w:space="0" w:color="auto"/>
              <w:right w:val="single" w:sz="4" w:space="0" w:color="auto"/>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50%</w:t>
            </w:r>
          </w:p>
        </w:tc>
      </w:tr>
      <w:tr w:rsidR="00060976" w:rsidRPr="007D2CA8" w:rsidTr="005C4253">
        <w:trPr>
          <w:trHeight w:val="247"/>
          <w:jc w:val="center"/>
        </w:trPr>
        <w:tc>
          <w:tcPr>
            <w:tcW w:w="1560" w:type="dxa"/>
            <w:vMerge w:val="restart"/>
            <w:tcBorders>
              <w:top w:val="nil"/>
              <w:left w:val="single" w:sz="4" w:space="0" w:color="auto"/>
              <w:right w:val="nil"/>
            </w:tcBorders>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IF.9</w:t>
            </w:r>
          </w:p>
        </w:tc>
        <w:tc>
          <w:tcPr>
            <w:tcW w:w="2268" w:type="dxa"/>
            <w:tcBorders>
              <w:top w:val="single" w:sz="4" w:space="0" w:color="auto"/>
              <w:left w:val="nil"/>
              <w:right w:val="nil"/>
            </w:tcBorders>
            <w:noWrap/>
            <w:vAlign w:val="bottom"/>
          </w:tcPr>
          <w:p w:rsidR="00060976" w:rsidRPr="007D2CA8" w:rsidRDefault="00060976" w:rsidP="005C4253">
            <w:pPr>
              <w:rPr>
                <w:rFonts w:ascii="Garamond" w:hAnsi="Garamond"/>
                <w:color w:val="000000"/>
                <w:spacing w:val="-4"/>
                <w:sz w:val="20"/>
                <w:szCs w:val="20"/>
              </w:rPr>
            </w:pPr>
            <w:r w:rsidRPr="007D2CA8">
              <w:rPr>
                <w:rFonts w:ascii="Garamond" w:hAnsi="Garamond"/>
                <w:color w:val="000000"/>
                <w:spacing w:val="-4"/>
                <w:sz w:val="20"/>
                <w:szCs w:val="20"/>
              </w:rPr>
              <w:t>quantitativo</w:t>
            </w:r>
          </w:p>
        </w:tc>
        <w:tc>
          <w:tcPr>
            <w:tcW w:w="500" w:type="dxa"/>
            <w:tcBorders>
              <w:top w:val="single" w:sz="4" w:space="0" w:color="auto"/>
              <w:left w:val="nil"/>
              <w:right w:val="nil"/>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12</w:t>
            </w:r>
          </w:p>
        </w:tc>
        <w:tc>
          <w:tcPr>
            <w:tcW w:w="740" w:type="dxa"/>
            <w:tcBorders>
              <w:top w:val="single" w:sz="4" w:space="0" w:color="auto"/>
              <w:left w:val="nil"/>
              <w:right w:val="single" w:sz="4" w:space="0" w:color="auto"/>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43%</w:t>
            </w:r>
          </w:p>
        </w:tc>
      </w:tr>
      <w:tr w:rsidR="00060976" w:rsidRPr="007D2CA8" w:rsidTr="005C4253">
        <w:trPr>
          <w:trHeight w:val="247"/>
          <w:jc w:val="center"/>
        </w:trPr>
        <w:tc>
          <w:tcPr>
            <w:tcW w:w="1560" w:type="dxa"/>
            <w:vMerge/>
            <w:tcBorders>
              <w:left w:val="single" w:sz="4" w:space="0" w:color="auto"/>
              <w:bottom w:val="single" w:sz="4" w:space="0" w:color="auto"/>
              <w:right w:val="nil"/>
            </w:tcBorders>
            <w:vAlign w:val="center"/>
          </w:tcPr>
          <w:p w:rsidR="00060976" w:rsidRPr="007D2CA8" w:rsidRDefault="00060976" w:rsidP="005C4253">
            <w:pPr>
              <w:jc w:val="center"/>
              <w:rPr>
                <w:rFonts w:ascii="Garamond" w:hAnsi="Garamond"/>
                <w:color w:val="000000"/>
                <w:spacing w:val="-4"/>
                <w:sz w:val="20"/>
                <w:szCs w:val="20"/>
              </w:rPr>
            </w:pPr>
          </w:p>
        </w:tc>
        <w:tc>
          <w:tcPr>
            <w:tcW w:w="2268" w:type="dxa"/>
            <w:tcBorders>
              <w:left w:val="nil"/>
              <w:bottom w:val="single" w:sz="4" w:space="0" w:color="auto"/>
              <w:right w:val="nil"/>
            </w:tcBorders>
            <w:noWrap/>
            <w:vAlign w:val="bottom"/>
          </w:tcPr>
          <w:p w:rsidR="00060976" w:rsidRPr="007D2CA8" w:rsidRDefault="00060976" w:rsidP="005C4253">
            <w:pPr>
              <w:rPr>
                <w:rFonts w:ascii="Garamond" w:hAnsi="Garamond"/>
                <w:color w:val="000000"/>
                <w:spacing w:val="-4"/>
                <w:sz w:val="20"/>
                <w:szCs w:val="20"/>
              </w:rPr>
            </w:pPr>
            <w:r w:rsidRPr="007D2CA8">
              <w:rPr>
                <w:rFonts w:ascii="Garamond" w:hAnsi="Garamond"/>
                <w:color w:val="000000"/>
                <w:spacing w:val="-4"/>
                <w:sz w:val="20"/>
                <w:szCs w:val="20"/>
              </w:rPr>
              <w:t>qualitativo</w:t>
            </w:r>
          </w:p>
        </w:tc>
        <w:tc>
          <w:tcPr>
            <w:tcW w:w="500" w:type="dxa"/>
            <w:tcBorders>
              <w:left w:val="nil"/>
              <w:bottom w:val="single" w:sz="4" w:space="0" w:color="auto"/>
              <w:right w:val="nil"/>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16</w:t>
            </w:r>
          </w:p>
        </w:tc>
        <w:tc>
          <w:tcPr>
            <w:tcW w:w="740" w:type="dxa"/>
            <w:tcBorders>
              <w:left w:val="nil"/>
              <w:bottom w:val="single" w:sz="4" w:space="0" w:color="auto"/>
              <w:right w:val="single" w:sz="4" w:space="0" w:color="auto"/>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57%</w:t>
            </w:r>
          </w:p>
        </w:tc>
      </w:tr>
      <w:tr w:rsidR="00060976" w:rsidRPr="007D2CA8" w:rsidTr="005C4253">
        <w:trPr>
          <w:trHeight w:val="247"/>
          <w:jc w:val="center"/>
        </w:trPr>
        <w:tc>
          <w:tcPr>
            <w:tcW w:w="1560" w:type="dxa"/>
            <w:vMerge w:val="restart"/>
            <w:tcBorders>
              <w:top w:val="nil"/>
              <w:left w:val="single" w:sz="4" w:space="0" w:color="auto"/>
              <w:right w:val="nil"/>
            </w:tcBorders>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IF.11</w:t>
            </w:r>
          </w:p>
        </w:tc>
        <w:tc>
          <w:tcPr>
            <w:tcW w:w="2268" w:type="dxa"/>
            <w:tcBorders>
              <w:top w:val="single" w:sz="4" w:space="0" w:color="auto"/>
              <w:left w:val="nil"/>
              <w:right w:val="nil"/>
            </w:tcBorders>
            <w:noWrap/>
            <w:vAlign w:val="bottom"/>
          </w:tcPr>
          <w:p w:rsidR="00060976" w:rsidRPr="007D2CA8" w:rsidRDefault="00060976" w:rsidP="005C4253">
            <w:pPr>
              <w:rPr>
                <w:rFonts w:ascii="Garamond" w:hAnsi="Garamond"/>
                <w:color w:val="000000"/>
                <w:spacing w:val="-4"/>
                <w:sz w:val="20"/>
                <w:szCs w:val="20"/>
              </w:rPr>
            </w:pPr>
            <w:r w:rsidRPr="007D2CA8">
              <w:rPr>
                <w:rFonts w:ascii="Garamond" w:hAnsi="Garamond"/>
                <w:color w:val="000000"/>
                <w:spacing w:val="-4"/>
                <w:sz w:val="20"/>
                <w:szCs w:val="20"/>
              </w:rPr>
              <w:t>quantitativo</w:t>
            </w:r>
          </w:p>
        </w:tc>
        <w:tc>
          <w:tcPr>
            <w:tcW w:w="500" w:type="dxa"/>
            <w:tcBorders>
              <w:top w:val="single" w:sz="4" w:space="0" w:color="auto"/>
              <w:left w:val="nil"/>
              <w:right w:val="nil"/>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1</w:t>
            </w:r>
          </w:p>
        </w:tc>
        <w:tc>
          <w:tcPr>
            <w:tcW w:w="740" w:type="dxa"/>
            <w:tcBorders>
              <w:top w:val="single" w:sz="4" w:space="0" w:color="auto"/>
              <w:left w:val="nil"/>
              <w:right w:val="single" w:sz="4" w:space="0" w:color="auto"/>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11%</w:t>
            </w:r>
          </w:p>
        </w:tc>
      </w:tr>
      <w:tr w:rsidR="00060976" w:rsidRPr="007D2CA8" w:rsidTr="005C4253">
        <w:trPr>
          <w:trHeight w:val="247"/>
          <w:jc w:val="center"/>
        </w:trPr>
        <w:tc>
          <w:tcPr>
            <w:tcW w:w="1560" w:type="dxa"/>
            <w:vMerge/>
            <w:tcBorders>
              <w:left w:val="single" w:sz="4" w:space="0" w:color="auto"/>
              <w:bottom w:val="single" w:sz="4" w:space="0" w:color="auto"/>
              <w:right w:val="nil"/>
            </w:tcBorders>
            <w:vAlign w:val="center"/>
          </w:tcPr>
          <w:p w:rsidR="00060976" w:rsidRPr="007D2CA8" w:rsidRDefault="00060976" w:rsidP="005C4253">
            <w:pPr>
              <w:jc w:val="center"/>
              <w:rPr>
                <w:rFonts w:ascii="Garamond" w:hAnsi="Garamond"/>
                <w:color w:val="000000"/>
                <w:spacing w:val="-4"/>
                <w:sz w:val="20"/>
                <w:szCs w:val="20"/>
              </w:rPr>
            </w:pPr>
          </w:p>
        </w:tc>
        <w:tc>
          <w:tcPr>
            <w:tcW w:w="2268" w:type="dxa"/>
            <w:tcBorders>
              <w:left w:val="nil"/>
              <w:bottom w:val="single" w:sz="4" w:space="0" w:color="auto"/>
              <w:right w:val="nil"/>
            </w:tcBorders>
            <w:noWrap/>
            <w:vAlign w:val="bottom"/>
          </w:tcPr>
          <w:p w:rsidR="00060976" w:rsidRPr="007D2CA8" w:rsidRDefault="00060976" w:rsidP="005C4253">
            <w:pPr>
              <w:rPr>
                <w:rFonts w:ascii="Garamond" w:hAnsi="Garamond"/>
                <w:color w:val="000000"/>
                <w:spacing w:val="-4"/>
                <w:sz w:val="20"/>
                <w:szCs w:val="20"/>
              </w:rPr>
            </w:pPr>
            <w:r w:rsidRPr="007D2CA8">
              <w:rPr>
                <w:rFonts w:ascii="Garamond" w:hAnsi="Garamond"/>
                <w:color w:val="000000"/>
                <w:spacing w:val="-4"/>
                <w:sz w:val="20"/>
                <w:szCs w:val="20"/>
              </w:rPr>
              <w:t>qualitativo</w:t>
            </w:r>
          </w:p>
        </w:tc>
        <w:tc>
          <w:tcPr>
            <w:tcW w:w="500" w:type="dxa"/>
            <w:tcBorders>
              <w:left w:val="nil"/>
              <w:bottom w:val="single" w:sz="4" w:space="0" w:color="auto"/>
              <w:right w:val="nil"/>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8</w:t>
            </w:r>
          </w:p>
        </w:tc>
        <w:tc>
          <w:tcPr>
            <w:tcW w:w="740" w:type="dxa"/>
            <w:tcBorders>
              <w:left w:val="nil"/>
              <w:bottom w:val="single" w:sz="4" w:space="0" w:color="auto"/>
              <w:right w:val="single" w:sz="4" w:space="0" w:color="auto"/>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89%</w:t>
            </w:r>
          </w:p>
        </w:tc>
      </w:tr>
      <w:tr w:rsidR="00060976" w:rsidRPr="007D2CA8" w:rsidTr="005C4253">
        <w:trPr>
          <w:trHeight w:val="300"/>
          <w:jc w:val="center"/>
        </w:trPr>
        <w:tc>
          <w:tcPr>
            <w:tcW w:w="1560" w:type="dxa"/>
            <w:vMerge w:val="restart"/>
            <w:tcBorders>
              <w:top w:val="single" w:sz="4" w:space="0" w:color="auto"/>
              <w:left w:val="single" w:sz="4" w:space="0" w:color="auto"/>
              <w:bottom w:val="nil"/>
              <w:right w:val="nil"/>
            </w:tcBorders>
            <w:noWrap/>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IG.1</w:t>
            </w:r>
          </w:p>
        </w:tc>
        <w:tc>
          <w:tcPr>
            <w:tcW w:w="2268" w:type="dxa"/>
            <w:tcBorders>
              <w:top w:val="single" w:sz="4" w:space="0" w:color="auto"/>
              <w:left w:val="nil"/>
              <w:bottom w:val="nil"/>
              <w:right w:val="nil"/>
            </w:tcBorders>
            <w:noWrap/>
            <w:vAlign w:val="bottom"/>
          </w:tcPr>
          <w:p w:rsidR="00060976" w:rsidRPr="007D2CA8" w:rsidRDefault="00060976" w:rsidP="005C4253">
            <w:pPr>
              <w:rPr>
                <w:rFonts w:ascii="Garamond" w:hAnsi="Garamond"/>
                <w:color w:val="000000"/>
                <w:spacing w:val="-4"/>
                <w:sz w:val="20"/>
                <w:szCs w:val="20"/>
              </w:rPr>
            </w:pPr>
            <w:r w:rsidRPr="007D2CA8">
              <w:rPr>
                <w:rFonts w:ascii="Garamond" w:hAnsi="Garamond"/>
                <w:color w:val="000000"/>
                <w:spacing w:val="-4"/>
                <w:sz w:val="20"/>
                <w:szCs w:val="20"/>
              </w:rPr>
              <w:t>quantitativo</w:t>
            </w:r>
          </w:p>
        </w:tc>
        <w:tc>
          <w:tcPr>
            <w:tcW w:w="500" w:type="dxa"/>
            <w:tcBorders>
              <w:top w:val="single" w:sz="4" w:space="0" w:color="auto"/>
              <w:left w:val="nil"/>
              <w:bottom w:val="nil"/>
              <w:right w:val="nil"/>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0</w:t>
            </w:r>
          </w:p>
        </w:tc>
        <w:tc>
          <w:tcPr>
            <w:tcW w:w="740" w:type="dxa"/>
            <w:tcBorders>
              <w:top w:val="single" w:sz="4" w:space="0" w:color="auto"/>
              <w:left w:val="nil"/>
              <w:bottom w:val="nil"/>
              <w:right w:val="single" w:sz="4" w:space="0" w:color="auto"/>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0%</w:t>
            </w:r>
          </w:p>
        </w:tc>
      </w:tr>
      <w:tr w:rsidR="00060976" w:rsidRPr="007D2CA8" w:rsidTr="005C4253">
        <w:trPr>
          <w:trHeight w:val="315"/>
          <w:jc w:val="center"/>
        </w:trPr>
        <w:tc>
          <w:tcPr>
            <w:tcW w:w="1560" w:type="dxa"/>
            <w:vMerge/>
            <w:tcBorders>
              <w:top w:val="nil"/>
              <w:left w:val="single" w:sz="4" w:space="0" w:color="auto"/>
              <w:bottom w:val="single" w:sz="4" w:space="0" w:color="auto"/>
              <w:right w:val="nil"/>
            </w:tcBorders>
            <w:vAlign w:val="center"/>
          </w:tcPr>
          <w:p w:rsidR="00060976" w:rsidRPr="007D2CA8" w:rsidRDefault="00060976" w:rsidP="005C4253">
            <w:pPr>
              <w:rPr>
                <w:rFonts w:ascii="Garamond" w:hAnsi="Garamond"/>
                <w:color w:val="000000"/>
                <w:spacing w:val="-4"/>
                <w:sz w:val="20"/>
                <w:szCs w:val="20"/>
              </w:rPr>
            </w:pPr>
          </w:p>
        </w:tc>
        <w:tc>
          <w:tcPr>
            <w:tcW w:w="2268" w:type="dxa"/>
            <w:tcBorders>
              <w:top w:val="nil"/>
              <w:left w:val="nil"/>
              <w:bottom w:val="single" w:sz="4" w:space="0" w:color="auto"/>
              <w:right w:val="nil"/>
            </w:tcBorders>
            <w:noWrap/>
            <w:vAlign w:val="bottom"/>
          </w:tcPr>
          <w:p w:rsidR="00060976" w:rsidRPr="007D2CA8" w:rsidRDefault="00060976" w:rsidP="005C4253">
            <w:pPr>
              <w:rPr>
                <w:rFonts w:ascii="Garamond" w:hAnsi="Garamond"/>
                <w:color w:val="000000"/>
                <w:spacing w:val="-4"/>
                <w:sz w:val="20"/>
                <w:szCs w:val="20"/>
              </w:rPr>
            </w:pPr>
            <w:r w:rsidRPr="007D2CA8">
              <w:rPr>
                <w:rFonts w:ascii="Garamond" w:hAnsi="Garamond"/>
                <w:color w:val="000000"/>
                <w:spacing w:val="-4"/>
                <w:sz w:val="20"/>
                <w:szCs w:val="20"/>
              </w:rPr>
              <w:t>qualitativo</w:t>
            </w:r>
          </w:p>
        </w:tc>
        <w:tc>
          <w:tcPr>
            <w:tcW w:w="500" w:type="dxa"/>
            <w:tcBorders>
              <w:top w:val="nil"/>
              <w:left w:val="nil"/>
              <w:bottom w:val="single" w:sz="4" w:space="0" w:color="auto"/>
              <w:right w:val="nil"/>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1</w:t>
            </w:r>
          </w:p>
        </w:tc>
        <w:tc>
          <w:tcPr>
            <w:tcW w:w="740" w:type="dxa"/>
            <w:tcBorders>
              <w:top w:val="nil"/>
              <w:left w:val="nil"/>
              <w:bottom w:val="single" w:sz="4" w:space="0" w:color="auto"/>
              <w:right w:val="single" w:sz="4" w:space="0" w:color="auto"/>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100%</w:t>
            </w:r>
          </w:p>
        </w:tc>
      </w:tr>
      <w:tr w:rsidR="00060976" w:rsidRPr="007D2CA8" w:rsidTr="005C4253">
        <w:trPr>
          <w:trHeight w:val="300"/>
          <w:jc w:val="center"/>
        </w:trPr>
        <w:tc>
          <w:tcPr>
            <w:tcW w:w="1560" w:type="dxa"/>
            <w:vMerge w:val="restart"/>
            <w:tcBorders>
              <w:top w:val="single" w:sz="4" w:space="0" w:color="auto"/>
              <w:left w:val="single" w:sz="4" w:space="0" w:color="auto"/>
              <w:bottom w:val="nil"/>
              <w:right w:val="nil"/>
            </w:tcBorders>
            <w:noWrap/>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IG.2</w:t>
            </w:r>
          </w:p>
        </w:tc>
        <w:tc>
          <w:tcPr>
            <w:tcW w:w="2268" w:type="dxa"/>
            <w:tcBorders>
              <w:top w:val="single" w:sz="4" w:space="0" w:color="auto"/>
              <w:left w:val="nil"/>
              <w:bottom w:val="nil"/>
              <w:right w:val="nil"/>
            </w:tcBorders>
            <w:noWrap/>
            <w:vAlign w:val="bottom"/>
          </w:tcPr>
          <w:p w:rsidR="00060976" w:rsidRPr="007D2CA8" w:rsidRDefault="00060976" w:rsidP="005C4253">
            <w:pPr>
              <w:rPr>
                <w:rFonts w:ascii="Garamond" w:hAnsi="Garamond"/>
                <w:color w:val="000000"/>
                <w:spacing w:val="-4"/>
                <w:sz w:val="20"/>
                <w:szCs w:val="20"/>
              </w:rPr>
            </w:pPr>
            <w:r w:rsidRPr="007D2CA8">
              <w:rPr>
                <w:rFonts w:ascii="Garamond" w:hAnsi="Garamond"/>
                <w:color w:val="000000"/>
                <w:spacing w:val="-4"/>
                <w:sz w:val="20"/>
                <w:szCs w:val="20"/>
              </w:rPr>
              <w:t>quantitativo</w:t>
            </w:r>
          </w:p>
        </w:tc>
        <w:tc>
          <w:tcPr>
            <w:tcW w:w="500" w:type="dxa"/>
            <w:tcBorders>
              <w:top w:val="single" w:sz="4" w:space="0" w:color="auto"/>
              <w:left w:val="nil"/>
              <w:bottom w:val="nil"/>
              <w:right w:val="nil"/>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0</w:t>
            </w:r>
          </w:p>
        </w:tc>
        <w:tc>
          <w:tcPr>
            <w:tcW w:w="740" w:type="dxa"/>
            <w:tcBorders>
              <w:top w:val="single" w:sz="4" w:space="0" w:color="auto"/>
              <w:left w:val="nil"/>
              <w:bottom w:val="nil"/>
              <w:right w:val="single" w:sz="4" w:space="0" w:color="auto"/>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0%</w:t>
            </w:r>
          </w:p>
        </w:tc>
      </w:tr>
      <w:tr w:rsidR="00060976" w:rsidRPr="007D2CA8" w:rsidTr="005C4253">
        <w:trPr>
          <w:trHeight w:val="315"/>
          <w:jc w:val="center"/>
        </w:trPr>
        <w:tc>
          <w:tcPr>
            <w:tcW w:w="1560" w:type="dxa"/>
            <w:vMerge/>
            <w:tcBorders>
              <w:top w:val="nil"/>
              <w:left w:val="single" w:sz="4" w:space="0" w:color="auto"/>
              <w:bottom w:val="single" w:sz="4" w:space="0" w:color="auto"/>
              <w:right w:val="nil"/>
            </w:tcBorders>
            <w:vAlign w:val="center"/>
          </w:tcPr>
          <w:p w:rsidR="00060976" w:rsidRPr="007D2CA8" w:rsidRDefault="00060976" w:rsidP="005C4253">
            <w:pPr>
              <w:rPr>
                <w:rFonts w:ascii="Garamond" w:hAnsi="Garamond"/>
                <w:color w:val="000000"/>
                <w:spacing w:val="-4"/>
                <w:sz w:val="20"/>
                <w:szCs w:val="20"/>
              </w:rPr>
            </w:pPr>
          </w:p>
        </w:tc>
        <w:tc>
          <w:tcPr>
            <w:tcW w:w="2268" w:type="dxa"/>
            <w:tcBorders>
              <w:top w:val="nil"/>
              <w:left w:val="nil"/>
              <w:bottom w:val="single" w:sz="4" w:space="0" w:color="auto"/>
              <w:right w:val="nil"/>
            </w:tcBorders>
            <w:noWrap/>
            <w:vAlign w:val="bottom"/>
          </w:tcPr>
          <w:p w:rsidR="00060976" w:rsidRPr="007D2CA8" w:rsidRDefault="00060976" w:rsidP="005C4253">
            <w:pPr>
              <w:rPr>
                <w:rFonts w:ascii="Garamond" w:hAnsi="Garamond"/>
                <w:color w:val="000000"/>
                <w:spacing w:val="-4"/>
                <w:sz w:val="20"/>
                <w:szCs w:val="20"/>
              </w:rPr>
            </w:pPr>
            <w:r w:rsidRPr="007D2CA8">
              <w:rPr>
                <w:rFonts w:ascii="Garamond" w:hAnsi="Garamond"/>
                <w:color w:val="000000"/>
                <w:spacing w:val="-4"/>
                <w:sz w:val="20"/>
                <w:szCs w:val="20"/>
              </w:rPr>
              <w:t>qualitativo</w:t>
            </w:r>
          </w:p>
        </w:tc>
        <w:tc>
          <w:tcPr>
            <w:tcW w:w="500" w:type="dxa"/>
            <w:tcBorders>
              <w:top w:val="nil"/>
              <w:left w:val="nil"/>
              <w:bottom w:val="single" w:sz="4" w:space="0" w:color="auto"/>
              <w:right w:val="nil"/>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1</w:t>
            </w:r>
          </w:p>
        </w:tc>
        <w:tc>
          <w:tcPr>
            <w:tcW w:w="740" w:type="dxa"/>
            <w:tcBorders>
              <w:top w:val="nil"/>
              <w:left w:val="nil"/>
              <w:bottom w:val="single" w:sz="4" w:space="0" w:color="auto"/>
              <w:right w:val="single" w:sz="4" w:space="0" w:color="auto"/>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100%</w:t>
            </w:r>
          </w:p>
        </w:tc>
      </w:tr>
      <w:tr w:rsidR="00060976" w:rsidRPr="007D2CA8" w:rsidTr="005C4253">
        <w:trPr>
          <w:trHeight w:val="300"/>
          <w:jc w:val="center"/>
        </w:trPr>
        <w:tc>
          <w:tcPr>
            <w:tcW w:w="1560" w:type="dxa"/>
            <w:vMerge w:val="restart"/>
            <w:tcBorders>
              <w:top w:val="single" w:sz="4" w:space="0" w:color="auto"/>
              <w:left w:val="single" w:sz="4" w:space="0" w:color="auto"/>
              <w:bottom w:val="nil"/>
              <w:right w:val="nil"/>
            </w:tcBorders>
            <w:noWrap/>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AI.1</w:t>
            </w:r>
          </w:p>
        </w:tc>
        <w:tc>
          <w:tcPr>
            <w:tcW w:w="2268" w:type="dxa"/>
            <w:tcBorders>
              <w:top w:val="single" w:sz="4" w:space="0" w:color="auto"/>
              <w:left w:val="nil"/>
              <w:bottom w:val="nil"/>
              <w:right w:val="nil"/>
            </w:tcBorders>
            <w:noWrap/>
            <w:vAlign w:val="bottom"/>
          </w:tcPr>
          <w:p w:rsidR="00060976" w:rsidRPr="007D2CA8" w:rsidRDefault="00060976" w:rsidP="005C4253">
            <w:pPr>
              <w:rPr>
                <w:rFonts w:ascii="Garamond" w:hAnsi="Garamond"/>
                <w:color w:val="000000"/>
                <w:spacing w:val="-4"/>
                <w:sz w:val="20"/>
                <w:szCs w:val="20"/>
              </w:rPr>
            </w:pPr>
            <w:r w:rsidRPr="007D2CA8">
              <w:rPr>
                <w:rFonts w:ascii="Garamond" w:hAnsi="Garamond"/>
                <w:color w:val="000000"/>
                <w:spacing w:val="-4"/>
                <w:sz w:val="20"/>
                <w:szCs w:val="20"/>
              </w:rPr>
              <w:t>quantitativo</w:t>
            </w:r>
          </w:p>
        </w:tc>
        <w:tc>
          <w:tcPr>
            <w:tcW w:w="500" w:type="dxa"/>
            <w:tcBorders>
              <w:top w:val="single" w:sz="4" w:space="0" w:color="auto"/>
              <w:left w:val="nil"/>
              <w:bottom w:val="nil"/>
              <w:right w:val="nil"/>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10</w:t>
            </w:r>
          </w:p>
        </w:tc>
        <w:tc>
          <w:tcPr>
            <w:tcW w:w="740" w:type="dxa"/>
            <w:tcBorders>
              <w:top w:val="single" w:sz="4" w:space="0" w:color="auto"/>
              <w:left w:val="nil"/>
              <w:bottom w:val="nil"/>
              <w:right w:val="single" w:sz="4" w:space="0" w:color="auto"/>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42%</w:t>
            </w:r>
          </w:p>
        </w:tc>
      </w:tr>
      <w:tr w:rsidR="00060976" w:rsidRPr="007D2CA8" w:rsidTr="005C4253">
        <w:trPr>
          <w:trHeight w:val="300"/>
          <w:jc w:val="center"/>
        </w:trPr>
        <w:tc>
          <w:tcPr>
            <w:tcW w:w="1560" w:type="dxa"/>
            <w:vMerge/>
            <w:tcBorders>
              <w:top w:val="nil"/>
              <w:left w:val="single" w:sz="4" w:space="0" w:color="auto"/>
              <w:bottom w:val="single" w:sz="4" w:space="0" w:color="auto"/>
              <w:right w:val="nil"/>
            </w:tcBorders>
            <w:vAlign w:val="center"/>
          </w:tcPr>
          <w:p w:rsidR="00060976" w:rsidRPr="007D2CA8" w:rsidRDefault="00060976" w:rsidP="005C4253">
            <w:pPr>
              <w:rPr>
                <w:rFonts w:ascii="Garamond" w:hAnsi="Garamond"/>
                <w:color w:val="000000"/>
                <w:spacing w:val="-4"/>
                <w:sz w:val="20"/>
                <w:szCs w:val="20"/>
              </w:rPr>
            </w:pPr>
          </w:p>
        </w:tc>
        <w:tc>
          <w:tcPr>
            <w:tcW w:w="2268" w:type="dxa"/>
            <w:tcBorders>
              <w:top w:val="nil"/>
              <w:left w:val="nil"/>
              <w:bottom w:val="single" w:sz="4" w:space="0" w:color="auto"/>
              <w:right w:val="nil"/>
            </w:tcBorders>
            <w:noWrap/>
            <w:vAlign w:val="bottom"/>
          </w:tcPr>
          <w:p w:rsidR="00060976" w:rsidRPr="007D2CA8" w:rsidRDefault="00060976" w:rsidP="005C4253">
            <w:pPr>
              <w:rPr>
                <w:rFonts w:ascii="Garamond" w:hAnsi="Garamond"/>
                <w:color w:val="000000"/>
                <w:spacing w:val="-4"/>
                <w:sz w:val="20"/>
                <w:szCs w:val="20"/>
              </w:rPr>
            </w:pPr>
            <w:r w:rsidRPr="007D2CA8">
              <w:rPr>
                <w:rFonts w:ascii="Garamond" w:hAnsi="Garamond"/>
                <w:color w:val="000000"/>
                <w:spacing w:val="-4"/>
                <w:sz w:val="20"/>
                <w:szCs w:val="20"/>
              </w:rPr>
              <w:t>qualitativo</w:t>
            </w:r>
          </w:p>
        </w:tc>
        <w:tc>
          <w:tcPr>
            <w:tcW w:w="500" w:type="dxa"/>
            <w:tcBorders>
              <w:top w:val="nil"/>
              <w:left w:val="nil"/>
              <w:bottom w:val="single" w:sz="4" w:space="0" w:color="auto"/>
              <w:right w:val="nil"/>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14</w:t>
            </w:r>
          </w:p>
        </w:tc>
        <w:tc>
          <w:tcPr>
            <w:tcW w:w="740" w:type="dxa"/>
            <w:tcBorders>
              <w:top w:val="nil"/>
              <w:left w:val="nil"/>
              <w:bottom w:val="single" w:sz="4" w:space="0" w:color="auto"/>
              <w:right w:val="single" w:sz="4" w:space="0" w:color="auto"/>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58%</w:t>
            </w:r>
          </w:p>
        </w:tc>
      </w:tr>
      <w:tr w:rsidR="00060976" w:rsidRPr="007D2CA8" w:rsidTr="005C4253">
        <w:trPr>
          <w:trHeight w:val="300"/>
          <w:jc w:val="center"/>
        </w:trPr>
        <w:tc>
          <w:tcPr>
            <w:tcW w:w="1560" w:type="dxa"/>
            <w:vMerge w:val="restart"/>
            <w:tcBorders>
              <w:top w:val="single" w:sz="4" w:space="0" w:color="auto"/>
              <w:left w:val="single" w:sz="4" w:space="0" w:color="auto"/>
              <w:bottom w:val="nil"/>
              <w:right w:val="nil"/>
            </w:tcBorders>
            <w:noWrap/>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AI.2</w:t>
            </w:r>
          </w:p>
        </w:tc>
        <w:tc>
          <w:tcPr>
            <w:tcW w:w="2268" w:type="dxa"/>
            <w:tcBorders>
              <w:top w:val="single" w:sz="4" w:space="0" w:color="auto"/>
              <w:left w:val="nil"/>
              <w:bottom w:val="nil"/>
              <w:right w:val="nil"/>
            </w:tcBorders>
            <w:noWrap/>
            <w:vAlign w:val="bottom"/>
          </w:tcPr>
          <w:p w:rsidR="00060976" w:rsidRPr="007D2CA8" w:rsidRDefault="00060976" w:rsidP="005C4253">
            <w:pPr>
              <w:rPr>
                <w:rFonts w:ascii="Garamond" w:hAnsi="Garamond"/>
                <w:color w:val="000000"/>
                <w:spacing w:val="-4"/>
                <w:sz w:val="20"/>
                <w:szCs w:val="20"/>
              </w:rPr>
            </w:pPr>
            <w:r w:rsidRPr="007D2CA8">
              <w:rPr>
                <w:rFonts w:ascii="Garamond" w:hAnsi="Garamond"/>
                <w:color w:val="000000"/>
                <w:spacing w:val="-4"/>
                <w:sz w:val="20"/>
                <w:szCs w:val="20"/>
              </w:rPr>
              <w:t>quantitativo</w:t>
            </w:r>
          </w:p>
        </w:tc>
        <w:tc>
          <w:tcPr>
            <w:tcW w:w="500" w:type="dxa"/>
            <w:tcBorders>
              <w:top w:val="single" w:sz="4" w:space="0" w:color="auto"/>
              <w:left w:val="nil"/>
              <w:bottom w:val="nil"/>
              <w:right w:val="nil"/>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6</w:t>
            </w:r>
          </w:p>
        </w:tc>
        <w:tc>
          <w:tcPr>
            <w:tcW w:w="740" w:type="dxa"/>
            <w:tcBorders>
              <w:top w:val="single" w:sz="4" w:space="0" w:color="auto"/>
              <w:left w:val="nil"/>
              <w:bottom w:val="nil"/>
              <w:right w:val="single" w:sz="4" w:space="0" w:color="auto"/>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46%</w:t>
            </w:r>
          </w:p>
        </w:tc>
      </w:tr>
      <w:tr w:rsidR="00060976" w:rsidRPr="007D2CA8" w:rsidTr="005C4253">
        <w:trPr>
          <w:trHeight w:val="315"/>
          <w:jc w:val="center"/>
        </w:trPr>
        <w:tc>
          <w:tcPr>
            <w:tcW w:w="1560" w:type="dxa"/>
            <w:vMerge/>
            <w:tcBorders>
              <w:top w:val="nil"/>
              <w:left w:val="single" w:sz="4" w:space="0" w:color="auto"/>
              <w:bottom w:val="single" w:sz="4" w:space="0" w:color="auto"/>
              <w:right w:val="nil"/>
            </w:tcBorders>
            <w:vAlign w:val="center"/>
          </w:tcPr>
          <w:p w:rsidR="00060976" w:rsidRPr="007D2CA8" w:rsidRDefault="00060976" w:rsidP="005C4253">
            <w:pPr>
              <w:rPr>
                <w:rFonts w:ascii="Garamond" w:hAnsi="Garamond"/>
                <w:color w:val="000000"/>
                <w:spacing w:val="-4"/>
                <w:sz w:val="20"/>
                <w:szCs w:val="20"/>
              </w:rPr>
            </w:pPr>
          </w:p>
        </w:tc>
        <w:tc>
          <w:tcPr>
            <w:tcW w:w="2268" w:type="dxa"/>
            <w:tcBorders>
              <w:top w:val="nil"/>
              <w:left w:val="nil"/>
              <w:bottom w:val="single" w:sz="4" w:space="0" w:color="auto"/>
              <w:right w:val="nil"/>
            </w:tcBorders>
            <w:noWrap/>
            <w:vAlign w:val="bottom"/>
          </w:tcPr>
          <w:p w:rsidR="00060976" w:rsidRPr="007D2CA8" w:rsidRDefault="00060976" w:rsidP="005C4253">
            <w:pPr>
              <w:rPr>
                <w:rFonts w:ascii="Garamond" w:hAnsi="Garamond"/>
                <w:color w:val="000000"/>
                <w:spacing w:val="-4"/>
                <w:sz w:val="20"/>
                <w:szCs w:val="20"/>
              </w:rPr>
            </w:pPr>
            <w:r w:rsidRPr="007D2CA8">
              <w:rPr>
                <w:rFonts w:ascii="Garamond" w:hAnsi="Garamond"/>
                <w:color w:val="000000"/>
                <w:spacing w:val="-4"/>
                <w:sz w:val="20"/>
                <w:szCs w:val="20"/>
              </w:rPr>
              <w:t>qualitativo</w:t>
            </w:r>
          </w:p>
        </w:tc>
        <w:tc>
          <w:tcPr>
            <w:tcW w:w="500" w:type="dxa"/>
            <w:tcBorders>
              <w:top w:val="nil"/>
              <w:left w:val="nil"/>
              <w:bottom w:val="single" w:sz="4" w:space="0" w:color="auto"/>
              <w:right w:val="nil"/>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7</w:t>
            </w:r>
          </w:p>
        </w:tc>
        <w:tc>
          <w:tcPr>
            <w:tcW w:w="740" w:type="dxa"/>
            <w:tcBorders>
              <w:top w:val="nil"/>
              <w:left w:val="nil"/>
              <w:bottom w:val="single" w:sz="4" w:space="0" w:color="auto"/>
              <w:right w:val="single" w:sz="4" w:space="0" w:color="auto"/>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54%</w:t>
            </w:r>
          </w:p>
        </w:tc>
      </w:tr>
      <w:tr w:rsidR="00060976" w:rsidRPr="007D2CA8" w:rsidTr="005C4253">
        <w:trPr>
          <w:trHeight w:val="300"/>
          <w:jc w:val="center"/>
        </w:trPr>
        <w:tc>
          <w:tcPr>
            <w:tcW w:w="1560" w:type="dxa"/>
            <w:vMerge w:val="restart"/>
            <w:tcBorders>
              <w:top w:val="single" w:sz="4" w:space="0" w:color="auto"/>
              <w:left w:val="single" w:sz="4" w:space="0" w:color="auto"/>
              <w:right w:val="nil"/>
            </w:tcBorders>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TOTALE</w:t>
            </w:r>
          </w:p>
        </w:tc>
        <w:tc>
          <w:tcPr>
            <w:tcW w:w="2268" w:type="dxa"/>
            <w:tcBorders>
              <w:top w:val="single" w:sz="4" w:space="0" w:color="auto"/>
              <w:left w:val="nil"/>
              <w:bottom w:val="nil"/>
              <w:right w:val="nil"/>
            </w:tcBorders>
            <w:noWrap/>
            <w:vAlign w:val="bottom"/>
          </w:tcPr>
          <w:p w:rsidR="00060976" w:rsidRPr="007D2CA8" w:rsidRDefault="00060976" w:rsidP="005C4253">
            <w:pPr>
              <w:rPr>
                <w:rFonts w:ascii="Garamond" w:hAnsi="Garamond"/>
                <w:color w:val="000000"/>
                <w:spacing w:val="-4"/>
                <w:sz w:val="20"/>
                <w:szCs w:val="20"/>
              </w:rPr>
            </w:pPr>
            <w:r w:rsidRPr="007D2CA8">
              <w:rPr>
                <w:rFonts w:ascii="Garamond" w:hAnsi="Garamond"/>
                <w:color w:val="000000"/>
                <w:spacing w:val="-4"/>
                <w:sz w:val="20"/>
                <w:szCs w:val="20"/>
              </w:rPr>
              <w:t>quantitativo</w:t>
            </w:r>
          </w:p>
        </w:tc>
        <w:tc>
          <w:tcPr>
            <w:tcW w:w="500" w:type="dxa"/>
            <w:tcBorders>
              <w:top w:val="single" w:sz="4" w:space="0" w:color="auto"/>
              <w:left w:val="nil"/>
              <w:bottom w:val="nil"/>
              <w:right w:val="nil"/>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149</w:t>
            </w:r>
          </w:p>
        </w:tc>
        <w:tc>
          <w:tcPr>
            <w:tcW w:w="740" w:type="dxa"/>
            <w:tcBorders>
              <w:top w:val="single" w:sz="4" w:space="0" w:color="auto"/>
              <w:left w:val="nil"/>
              <w:bottom w:val="nil"/>
              <w:right w:val="single" w:sz="4" w:space="0" w:color="auto"/>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60%</w:t>
            </w:r>
          </w:p>
        </w:tc>
      </w:tr>
      <w:tr w:rsidR="00060976" w:rsidRPr="007D2CA8" w:rsidTr="005C4253">
        <w:trPr>
          <w:trHeight w:val="300"/>
          <w:jc w:val="center"/>
        </w:trPr>
        <w:tc>
          <w:tcPr>
            <w:tcW w:w="1560" w:type="dxa"/>
            <w:vMerge/>
            <w:tcBorders>
              <w:left w:val="single" w:sz="4" w:space="0" w:color="auto"/>
              <w:right w:val="nil"/>
            </w:tcBorders>
            <w:vAlign w:val="bottom"/>
          </w:tcPr>
          <w:p w:rsidR="00060976" w:rsidRPr="007D2CA8" w:rsidRDefault="00060976" w:rsidP="005C4253">
            <w:pPr>
              <w:rPr>
                <w:rFonts w:ascii="Garamond" w:hAnsi="Garamond"/>
                <w:color w:val="000000"/>
                <w:spacing w:val="-4"/>
                <w:sz w:val="20"/>
                <w:szCs w:val="20"/>
              </w:rPr>
            </w:pPr>
          </w:p>
        </w:tc>
        <w:tc>
          <w:tcPr>
            <w:tcW w:w="2268" w:type="dxa"/>
            <w:tcBorders>
              <w:top w:val="nil"/>
              <w:left w:val="nil"/>
              <w:bottom w:val="nil"/>
              <w:right w:val="nil"/>
            </w:tcBorders>
            <w:noWrap/>
            <w:vAlign w:val="bottom"/>
          </w:tcPr>
          <w:p w:rsidR="00060976" w:rsidRPr="007D2CA8" w:rsidRDefault="00060976" w:rsidP="005C4253">
            <w:pPr>
              <w:rPr>
                <w:rFonts w:ascii="Garamond" w:hAnsi="Garamond"/>
                <w:color w:val="000000"/>
                <w:spacing w:val="-4"/>
                <w:sz w:val="20"/>
                <w:szCs w:val="20"/>
              </w:rPr>
            </w:pPr>
            <w:r w:rsidRPr="007D2CA8">
              <w:rPr>
                <w:rFonts w:ascii="Garamond" w:hAnsi="Garamond"/>
                <w:color w:val="000000"/>
                <w:spacing w:val="-4"/>
                <w:sz w:val="20"/>
                <w:szCs w:val="20"/>
              </w:rPr>
              <w:t>qualitativo</w:t>
            </w:r>
          </w:p>
        </w:tc>
        <w:tc>
          <w:tcPr>
            <w:tcW w:w="500" w:type="dxa"/>
            <w:tcBorders>
              <w:top w:val="nil"/>
              <w:left w:val="nil"/>
              <w:bottom w:val="nil"/>
              <w:right w:val="nil"/>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99</w:t>
            </w:r>
          </w:p>
        </w:tc>
        <w:tc>
          <w:tcPr>
            <w:tcW w:w="740" w:type="dxa"/>
            <w:tcBorders>
              <w:top w:val="nil"/>
              <w:left w:val="nil"/>
              <w:bottom w:val="nil"/>
              <w:right w:val="single" w:sz="4" w:space="0" w:color="auto"/>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40%</w:t>
            </w:r>
          </w:p>
        </w:tc>
      </w:tr>
      <w:tr w:rsidR="00060976" w:rsidRPr="007D2CA8" w:rsidTr="005C4253">
        <w:trPr>
          <w:trHeight w:val="57"/>
          <w:jc w:val="center"/>
        </w:trPr>
        <w:tc>
          <w:tcPr>
            <w:tcW w:w="3828" w:type="dxa"/>
            <w:gridSpan w:val="2"/>
            <w:tcBorders>
              <w:left w:val="single" w:sz="4" w:space="0" w:color="auto"/>
              <w:bottom w:val="single" w:sz="4" w:space="0" w:color="auto"/>
              <w:right w:val="nil"/>
            </w:tcBorders>
            <w:vAlign w:val="bottom"/>
          </w:tcPr>
          <w:p w:rsidR="00060976" w:rsidRPr="007D2CA8" w:rsidRDefault="00060976" w:rsidP="005C4253">
            <w:pPr>
              <w:rPr>
                <w:rFonts w:ascii="Garamond" w:hAnsi="Garamond"/>
                <w:color w:val="000000"/>
                <w:spacing w:val="-4"/>
                <w:sz w:val="20"/>
                <w:szCs w:val="20"/>
              </w:rPr>
            </w:pPr>
            <w:r w:rsidRPr="007D2CA8">
              <w:rPr>
                <w:rFonts w:ascii="Garamond" w:hAnsi="Garamond"/>
                <w:color w:val="000000"/>
                <w:spacing w:val="-4"/>
                <w:sz w:val="20"/>
                <w:szCs w:val="20"/>
              </w:rPr>
              <w:t>TOTALE GENERALE</w:t>
            </w:r>
          </w:p>
        </w:tc>
        <w:tc>
          <w:tcPr>
            <w:tcW w:w="500" w:type="dxa"/>
            <w:tcBorders>
              <w:top w:val="nil"/>
              <w:left w:val="nil"/>
              <w:bottom w:val="single" w:sz="4" w:space="0" w:color="auto"/>
              <w:right w:val="nil"/>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248</w:t>
            </w:r>
          </w:p>
        </w:tc>
        <w:tc>
          <w:tcPr>
            <w:tcW w:w="740" w:type="dxa"/>
            <w:tcBorders>
              <w:top w:val="nil"/>
              <w:left w:val="nil"/>
              <w:bottom w:val="single" w:sz="4" w:space="0" w:color="auto"/>
              <w:right w:val="single" w:sz="4" w:space="0" w:color="auto"/>
            </w:tcBorders>
            <w:noWrap/>
            <w:vAlign w:val="bottom"/>
          </w:tcPr>
          <w:p w:rsidR="00060976" w:rsidRPr="007D2CA8" w:rsidRDefault="00060976" w:rsidP="005C4253">
            <w:pPr>
              <w:jc w:val="right"/>
              <w:rPr>
                <w:rFonts w:ascii="Garamond" w:hAnsi="Garamond"/>
                <w:color w:val="000000"/>
                <w:spacing w:val="-4"/>
                <w:sz w:val="20"/>
                <w:szCs w:val="20"/>
              </w:rPr>
            </w:pPr>
            <w:r w:rsidRPr="007D2CA8">
              <w:rPr>
                <w:rFonts w:ascii="Garamond" w:hAnsi="Garamond"/>
                <w:color w:val="000000"/>
                <w:spacing w:val="-4"/>
                <w:sz w:val="20"/>
                <w:szCs w:val="20"/>
              </w:rPr>
              <w:t>100%</w:t>
            </w:r>
          </w:p>
        </w:tc>
      </w:tr>
    </w:tbl>
    <w:p w:rsidR="00024F4F" w:rsidRPr="007D2CA8" w:rsidRDefault="00024F4F" w:rsidP="005B7C49">
      <w:pPr>
        <w:spacing w:line="360" w:lineRule="auto"/>
        <w:ind w:firstLine="567"/>
        <w:jc w:val="center"/>
        <w:rPr>
          <w:rFonts w:ascii="Garamond" w:hAnsi="Garamond" w:cs="Arial"/>
          <w:noProof/>
          <w:color w:val="000000"/>
          <w:spacing w:val="-4"/>
          <w:sz w:val="23"/>
          <w:szCs w:val="23"/>
        </w:rPr>
      </w:pPr>
    </w:p>
    <w:p w:rsidR="00024F4F" w:rsidRDefault="00024F4F" w:rsidP="005B7C49">
      <w:pPr>
        <w:pStyle w:val="ATesto"/>
        <w:widowControl/>
        <w:rPr>
          <w:noProof/>
          <w:spacing w:val="-4"/>
          <w:lang w:val="it-IT"/>
        </w:rPr>
      </w:pPr>
      <w:r w:rsidRPr="007D2CA8">
        <w:rPr>
          <w:noProof/>
          <w:spacing w:val="-4"/>
          <w:lang w:val="it-IT"/>
        </w:rPr>
        <w:t>Suddividendo i 248 indicatori tra il periodo 2004-2007 vs 2008-2011, emerge quanto esposto nella Tabella 5, ovvero che dal confronto dei due dati si evidenziano sostanziali differenze di approccio / comportamento nei due sottoperiodi. Applicando il test del Chi quadrato, risulta una differenza significativa dal punto vista statistico (N = 248; X = 16,05; p-value = 0,00). In particolare, nel periodo 2004-2007 il peso percentuale degli indicatori quantitativi è pari al 39% (26 su 66 indicatori), nel periodo 2008-2011 lo stesso peso è pari al 69% (123 su 182 indicatori). Pertanto si può ritenere che nel periodo di crisi finanziaria, come suggerito dal provvedimento congiunto Banca d’Italia/Consob/Isvap (2009), l’attenzione del revisore nel riportare le motivazioni dei giudizi gravi sulle incertezze ha determinato un maggior ricorso alla dimensione quantitativa degli indicatori utilizzati.</w:t>
      </w:r>
    </w:p>
    <w:p w:rsidR="00AB1962" w:rsidRDefault="00AB1962" w:rsidP="005B7C49">
      <w:pPr>
        <w:pStyle w:val="ATesto"/>
        <w:widowControl/>
        <w:rPr>
          <w:noProof/>
          <w:spacing w:val="-4"/>
          <w:lang w:val="it-IT"/>
        </w:rPr>
      </w:pPr>
    </w:p>
    <w:p w:rsidR="00AB1962" w:rsidRDefault="00AB1962" w:rsidP="005B7C49">
      <w:pPr>
        <w:pStyle w:val="ATesto"/>
        <w:widowControl/>
        <w:rPr>
          <w:noProof/>
          <w:spacing w:val="-4"/>
          <w:lang w:val="it-IT"/>
        </w:rPr>
      </w:pPr>
    </w:p>
    <w:p w:rsidR="00AB1962" w:rsidRPr="007D2CA8" w:rsidRDefault="00AB1962" w:rsidP="005B7C49">
      <w:pPr>
        <w:pStyle w:val="ATesto"/>
        <w:widowControl/>
        <w:rPr>
          <w:noProof/>
          <w:spacing w:val="-4"/>
          <w:lang w:val="it-IT"/>
        </w:rPr>
      </w:pPr>
    </w:p>
    <w:p w:rsidR="00BD3051" w:rsidRPr="007D2CA8" w:rsidRDefault="00BD3051" w:rsidP="005B7C49">
      <w:pPr>
        <w:pStyle w:val="ATesto"/>
        <w:widowControl/>
        <w:rPr>
          <w:noProof/>
          <w:spacing w:val="-4"/>
          <w:lang w:val="it-IT"/>
        </w:rPr>
      </w:pPr>
    </w:p>
    <w:p w:rsidR="00060976" w:rsidRPr="007D2CA8" w:rsidRDefault="000A2318" w:rsidP="00060976">
      <w:pPr>
        <w:pStyle w:val="ATitoloTabella"/>
        <w:spacing w:line="360" w:lineRule="auto"/>
        <w:rPr>
          <w:spacing w:val="-4"/>
        </w:rPr>
      </w:pPr>
      <w:r>
        <w:rPr>
          <w:spacing w:val="-4"/>
        </w:rPr>
        <w:t xml:space="preserve">Tabella 5: </w:t>
      </w:r>
      <w:r w:rsidRPr="000A2318">
        <w:rPr>
          <w:spacing w:val="-4"/>
          <w:highlight w:val="yellow"/>
        </w:rPr>
        <w:t>C</w:t>
      </w:r>
      <w:r w:rsidR="00060976" w:rsidRPr="007D2CA8">
        <w:rPr>
          <w:spacing w:val="-4"/>
        </w:rPr>
        <w:t>onfronto degli indicatori nei periodi 2004-2007 e 2008-2011</w:t>
      </w:r>
    </w:p>
    <w:tbl>
      <w:tblPr>
        <w:tblW w:w="8127" w:type="dxa"/>
        <w:jc w:val="center"/>
        <w:tblInd w:w="-1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tblPr>
      <w:tblGrid>
        <w:gridCol w:w="2176"/>
        <w:gridCol w:w="1595"/>
        <w:gridCol w:w="948"/>
        <w:gridCol w:w="1234"/>
        <w:gridCol w:w="1114"/>
        <w:gridCol w:w="1060"/>
      </w:tblGrid>
      <w:tr w:rsidR="00060976" w:rsidRPr="007D2CA8" w:rsidTr="005C4253">
        <w:trPr>
          <w:trHeight w:val="525"/>
          <w:jc w:val="center"/>
        </w:trPr>
        <w:tc>
          <w:tcPr>
            <w:tcW w:w="2176" w:type="dxa"/>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Anno di bilancio</w:t>
            </w:r>
          </w:p>
        </w:tc>
        <w:tc>
          <w:tcPr>
            <w:tcW w:w="1595" w:type="dxa"/>
            <w:noWrap/>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n. relazioni  con giudizio di impo</w:t>
            </w:r>
            <w:r w:rsidRPr="007D2CA8">
              <w:rPr>
                <w:rFonts w:ascii="Garamond" w:hAnsi="Garamond"/>
                <w:color w:val="000000"/>
                <w:spacing w:val="-4"/>
                <w:sz w:val="20"/>
                <w:szCs w:val="20"/>
              </w:rPr>
              <w:t>s</w:t>
            </w:r>
            <w:r w:rsidRPr="007D2CA8">
              <w:rPr>
                <w:rFonts w:ascii="Garamond" w:hAnsi="Garamond"/>
                <w:color w:val="000000"/>
                <w:spacing w:val="-4"/>
                <w:sz w:val="20"/>
                <w:szCs w:val="20"/>
              </w:rPr>
              <w:t>sibilità o negativi</w:t>
            </w:r>
          </w:p>
        </w:tc>
        <w:tc>
          <w:tcPr>
            <w:tcW w:w="948" w:type="dxa"/>
            <w:noWrap/>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Totale per periodo</w:t>
            </w:r>
          </w:p>
        </w:tc>
        <w:tc>
          <w:tcPr>
            <w:tcW w:w="1234" w:type="dxa"/>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Indicatori quantitativi</w:t>
            </w:r>
          </w:p>
        </w:tc>
        <w:tc>
          <w:tcPr>
            <w:tcW w:w="1114" w:type="dxa"/>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Indicatori qualitativi</w:t>
            </w:r>
          </w:p>
        </w:tc>
        <w:tc>
          <w:tcPr>
            <w:tcW w:w="1060" w:type="dxa"/>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Totale ind</w:t>
            </w:r>
            <w:r w:rsidRPr="007D2CA8">
              <w:rPr>
                <w:rFonts w:ascii="Garamond" w:hAnsi="Garamond"/>
                <w:color w:val="000000"/>
                <w:spacing w:val="-4"/>
                <w:sz w:val="20"/>
                <w:szCs w:val="20"/>
              </w:rPr>
              <w:t>i</w:t>
            </w:r>
            <w:r w:rsidRPr="007D2CA8">
              <w:rPr>
                <w:rFonts w:ascii="Garamond" w:hAnsi="Garamond"/>
                <w:color w:val="000000"/>
                <w:spacing w:val="-4"/>
                <w:sz w:val="20"/>
                <w:szCs w:val="20"/>
              </w:rPr>
              <w:t>catori</w:t>
            </w:r>
          </w:p>
        </w:tc>
      </w:tr>
      <w:tr w:rsidR="00060976" w:rsidRPr="007D2CA8" w:rsidTr="005C4253">
        <w:trPr>
          <w:trHeight w:val="255"/>
          <w:jc w:val="center"/>
        </w:trPr>
        <w:tc>
          <w:tcPr>
            <w:tcW w:w="2176" w:type="dxa"/>
            <w:noWrap/>
            <w:vAlign w:val="bottom"/>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2004</w:t>
            </w:r>
          </w:p>
        </w:tc>
        <w:tc>
          <w:tcPr>
            <w:tcW w:w="1595" w:type="dxa"/>
            <w:noWrap/>
            <w:vAlign w:val="bottom"/>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7</w:t>
            </w:r>
          </w:p>
        </w:tc>
        <w:tc>
          <w:tcPr>
            <w:tcW w:w="948" w:type="dxa"/>
            <w:vMerge w:val="restart"/>
            <w:noWrap/>
            <w:vAlign w:val="center"/>
          </w:tcPr>
          <w:p w:rsidR="00060976" w:rsidRPr="007D2CA8" w:rsidRDefault="00060976" w:rsidP="005C4253">
            <w:pPr>
              <w:jc w:val="center"/>
              <w:rPr>
                <w:rFonts w:ascii="Garamond" w:hAnsi="Garamond"/>
                <w:bCs/>
                <w:color w:val="000000"/>
                <w:spacing w:val="-4"/>
                <w:sz w:val="20"/>
                <w:szCs w:val="20"/>
              </w:rPr>
            </w:pPr>
            <w:r w:rsidRPr="007D2CA8">
              <w:rPr>
                <w:rFonts w:ascii="Garamond" w:hAnsi="Garamond"/>
                <w:bCs/>
                <w:color w:val="000000"/>
                <w:spacing w:val="-4"/>
                <w:sz w:val="20"/>
                <w:szCs w:val="20"/>
              </w:rPr>
              <w:t>18</w:t>
            </w:r>
          </w:p>
        </w:tc>
        <w:tc>
          <w:tcPr>
            <w:tcW w:w="1234" w:type="dxa"/>
            <w:noWrap/>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3</w:t>
            </w:r>
          </w:p>
        </w:tc>
        <w:tc>
          <w:tcPr>
            <w:tcW w:w="1114" w:type="dxa"/>
            <w:noWrap/>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17</w:t>
            </w:r>
          </w:p>
        </w:tc>
        <w:tc>
          <w:tcPr>
            <w:tcW w:w="1060" w:type="dxa"/>
            <w:noWrap/>
            <w:vAlign w:val="center"/>
          </w:tcPr>
          <w:p w:rsidR="00060976" w:rsidRPr="007D2CA8" w:rsidRDefault="00060976" w:rsidP="005C4253">
            <w:pPr>
              <w:jc w:val="center"/>
              <w:rPr>
                <w:rFonts w:ascii="Garamond" w:hAnsi="Garamond"/>
                <w:color w:val="000000"/>
                <w:spacing w:val="-4"/>
                <w:sz w:val="20"/>
                <w:szCs w:val="20"/>
              </w:rPr>
            </w:pPr>
          </w:p>
        </w:tc>
      </w:tr>
      <w:tr w:rsidR="00060976" w:rsidRPr="007D2CA8" w:rsidTr="005C4253">
        <w:trPr>
          <w:trHeight w:val="255"/>
          <w:jc w:val="center"/>
        </w:trPr>
        <w:tc>
          <w:tcPr>
            <w:tcW w:w="2176" w:type="dxa"/>
            <w:noWrap/>
            <w:vAlign w:val="bottom"/>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2005</w:t>
            </w:r>
          </w:p>
        </w:tc>
        <w:tc>
          <w:tcPr>
            <w:tcW w:w="1595" w:type="dxa"/>
            <w:noWrap/>
            <w:vAlign w:val="bottom"/>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4</w:t>
            </w:r>
          </w:p>
        </w:tc>
        <w:tc>
          <w:tcPr>
            <w:tcW w:w="948" w:type="dxa"/>
            <w:vMerge/>
            <w:noWrap/>
            <w:vAlign w:val="center"/>
          </w:tcPr>
          <w:p w:rsidR="00060976" w:rsidRPr="007D2CA8" w:rsidRDefault="00060976" w:rsidP="005C4253">
            <w:pPr>
              <w:jc w:val="center"/>
              <w:rPr>
                <w:rFonts w:ascii="Garamond" w:hAnsi="Garamond"/>
                <w:b/>
                <w:bCs/>
                <w:color w:val="000000"/>
                <w:spacing w:val="-4"/>
                <w:sz w:val="20"/>
                <w:szCs w:val="20"/>
              </w:rPr>
            </w:pPr>
          </w:p>
        </w:tc>
        <w:tc>
          <w:tcPr>
            <w:tcW w:w="1234" w:type="dxa"/>
            <w:noWrap/>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8</w:t>
            </w:r>
          </w:p>
        </w:tc>
        <w:tc>
          <w:tcPr>
            <w:tcW w:w="1114" w:type="dxa"/>
            <w:noWrap/>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11</w:t>
            </w:r>
          </w:p>
        </w:tc>
        <w:tc>
          <w:tcPr>
            <w:tcW w:w="1060" w:type="dxa"/>
            <w:noWrap/>
            <w:vAlign w:val="center"/>
          </w:tcPr>
          <w:p w:rsidR="00060976" w:rsidRPr="007D2CA8" w:rsidRDefault="00060976" w:rsidP="005C4253">
            <w:pPr>
              <w:jc w:val="center"/>
              <w:rPr>
                <w:rFonts w:ascii="Garamond" w:hAnsi="Garamond"/>
                <w:color w:val="000000"/>
                <w:spacing w:val="-4"/>
                <w:sz w:val="20"/>
                <w:szCs w:val="20"/>
              </w:rPr>
            </w:pPr>
          </w:p>
        </w:tc>
      </w:tr>
      <w:tr w:rsidR="00060976" w:rsidRPr="007D2CA8" w:rsidTr="005C4253">
        <w:trPr>
          <w:trHeight w:val="255"/>
          <w:jc w:val="center"/>
        </w:trPr>
        <w:tc>
          <w:tcPr>
            <w:tcW w:w="2176" w:type="dxa"/>
            <w:noWrap/>
            <w:vAlign w:val="bottom"/>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2006</w:t>
            </w:r>
          </w:p>
        </w:tc>
        <w:tc>
          <w:tcPr>
            <w:tcW w:w="1595" w:type="dxa"/>
            <w:noWrap/>
            <w:vAlign w:val="bottom"/>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5</w:t>
            </w:r>
          </w:p>
        </w:tc>
        <w:tc>
          <w:tcPr>
            <w:tcW w:w="948" w:type="dxa"/>
            <w:vMerge/>
            <w:noWrap/>
            <w:vAlign w:val="center"/>
          </w:tcPr>
          <w:p w:rsidR="00060976" w:rsidRPr="007D2CA8" w:rsidRDefault="00060976" w:rsidP="005C4253">
            <w:pPr>
              <w:jc w:val="center"/>
              <w:rPr>
                <w:rFonts w:ascii="Garamond" w:hAnsi="Garamond"/>
                <w:b/>
                <w:bCs/>
                <w:color w:val="000000"/>
                <w:spacing w:val="-4"/>
                <w:sz w:val="20"/>
                <w:szCs w:val="20"/>
              </w:rPr>
            </w:pPr>
          </w:p>
        </w:tc>
        <w:tc>
          <w:tcPr>
            <w:tcW w:w="1234" w:type="dxa"/>
            <w:noWrap/>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10</w:t>
            </w:r>
          </w:p>
        </w:tc>
        <w:tc>
          <w:tcPr>
            <w:tcW w:w="1114" w:type="dxa"/>
            <w:noWrap/>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7</w:t>
            </w:r>
          </w:p>
        </w:tc>
        <w:tc>
          <w:tcPr>
            <w:tcW w:w="1060" w:type="dxa"/>
            <w:noWrap/>
            <w:vAlign w:val="center"/>
          </w:tcPr>
          <w:p w:rsidR="00060976" w:rsidRPr="007D2CA8" w:rsidRDefault="00060976" w:rsidP="005C4253">
            <w:pPr>
              <w:jc w:val="center"/>
              <w:rPr>
                <w:rFonts w:ascii="Garamond" w:hAnsi="Garamond"/>
                <w:color w:val="000000"/>
                <w:spacing w:val="-4"/>
                <w:sz w:val="20"/>
                <w:szCs w:val="20"/>
              </w:rPr>
            </w:pPr>
          </w:p>
        </w:tc>
      </w:tr>
      <w:tr w:rsidR="00060976" w:rsidRPr="007D2CA8" w:rsidTr="005C4253">
        <w:trPr>
          <w:trHeight w:val="270"/>
          <w:jc w:val="center"/>
        </w:trPr>
        <w:tc>
          <w:tcPr>
            <w:tcW w:w="2176" w:type="dxa"/>
            <w:tcBorders>
              <w:bottom w:val="single" w:sz="12" w:space="0" w:color="auto"/>
            </w:tcBorders>
            <w:noWrap/>
            <w:vAlign w:val="bottom"/>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2007</w:t>
            </w:r>
          </w:p>
        </w:tc>
        <w:tc>
          <w:tcPr>
            <w:tcW w:w="1595" w:type="dxa"/>
            <w:tcBorders>
              <w:bottom w:val="single" w:sz="12" w:space="0" w:color="auto"/>
            </w:tcBorders>
            <w:noWrap/>
            <w:vAlign w:val="bottom"/>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2</w:t>
            </w:r>
          </w:p>
        </w:tc>
        <w:tc>
          <w:tcPr>
            <w:tcW w:w="948" w:type="dxa"/>
            <w:vMerge/>
            <w:tcBorders>
              <w:bottom w:val="single" w:sz="12" w:space="0" w:color="auto"/>
            </w:tcBorders>
            <w:vAlign w:val="center"/>
          </w:tcPr>
          <w:p w:rsidR="00060976" w:rsidRPr="007D2CA8" w:rsidRDefault="00060976" w:rsidP="005C4253">
            <w:pPr>
              <w:rPr>
                <w:rFonts w:ascii="Garamond" w:hAnsi="Garamond"/>
                <w:b/>
                <w:bCs/>
                <w:color w:val="000000"/>
                <w:spacing w:val="-4"/>
                <w:sz w:val="20"/>
                <w:szCs w:val="20"/>
              </w:rPr>
            </w:pPr>
          </w:p>
        </w:tc>
        <w:tc>
          <w:tcPr>
            <w:tcW w:w="1234" w:type="dxa"/>
            <w:tcBorders>
              <w:bottom w:val="single" w:sz="12" w:space="0" w:color="auto"/>
            </w:tcBorders>
            <w:noWrap/>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5</w:t>
            </w:r>
          </w:p>
        </w:tc>
        <w:tc>
          <w:tcPr>
            <w:tcW w:w="1114" w:type="dxa"/>
            <w:tcBorders>
              <w:bottom w:val="single" w:sz="12" w:space="0" w:color="auto"/>
            </w:tcBorders>
            <w:noWrap/>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5</w:t>
            </w:r>
          </w:p>
        </w:tc>
        <w:tc>
          <w:tcPr>
            <w:tcW w:w="1060" w:type="dxa"/>
            <w:tcBorders>
              <w:bottom w:val="single" w:sz="12" w:space="0" w:color="auto"/>
            </w:tcBorders>
            <w:noWrap/>
            <w:vAlign w:val="center"/>
          </w:tcPr>
          <w:p w:rsidR="00060976" w:rsidRPr="007D2CA8" w:rsidRDefault="00060976" w:rsidP="005C4253">
            <w:pPr>
              <w:jc w:val="center"/>
              <w:rPr>
                <w:rFonts w:ascii="Garamond" w:hAnsi="Garamond"/>
                <w:color w:val="000000"/>
                <w:spacing w:val="-4"/>
                <w:sz w:val="20"/>
                <w:szCs w:val="20"/>
              </w:rPr>
            </w:pPr>
          </w:p>
        </w:tc>
      </w:tr>
      <w:tr w:rsidR="00060976" w:rsidRPr="007D2CA8" w:rsidTr="005C4253">
        <w:trPr>
          <w:trHeight w:val="270"/>
          <w:jc w:val="center"/>
        </w:trPr>
        <w:tc>
          <w:tcPr>
            <w:tcW w:w="2176" w:type="dxa"/>
            <w:tcBorders>
              <w:top w:val="single" w:sz="12" w:space="0" w:color="auto"/>
              <w:left w:val="single" w:sz="12" w:space="0" w:color="auto"/>
              <w:bottom w:val="single" w:sz="8" w:space="0" w:color="auto"/>
              <w:right w:val="single" w:sz="8" w:space="0" w:color="auto"/>
            </w:tcBorders>
            <w:noWrap/>
            <w:vAlign w:val="bottom"/>
          </w:tcPr>
          <w:p w:rsidR="00060976" w:rsidRPr="007D2CA8" w:rsidRDefault="00060976" w:rsidP="005C4253">
            <w:pPr>
              <w:rPr>
                <w:rFonts w:ascii="Garamond" w:hAnsi="Garamond"/>
                <w:color w:val="000000"/>
                <w:spacing w:val="-4"/>
                <w:sz w:val="20"/>
                <w:szCs w:val="20"/>
              </w:rPr>
            </w:pPr>
            <w:r w:rsidRPr="007D2CA8">
              <w:rPr>
                <w:rFonts w:ascii="Garamond" w:hAnsi="Garamond"/>
                <w:color w:val="000000"/>
                <w:spacing w:val="-4"/>
                <w:sz w:val="20"/>
                <w:szCs w:val="20"/>
              </w:rPr>
              <w:t> Sub-totale</w:t>
            </w:r>
          </w:p>
        </w:tc>
        <w:tc>
          <w:tcPr>
            <w:tcW w:w="1595" w:type="dxa"/>
            <w:tcBorders>
              <w:top w:val="single" w:sz="12" w:space="0" w:color="auto"/>
              <w:left w:val="single" w:sz="8" w:space="0" w:color="auto"/>
              <w:bottom w:val="single" w:sz="8" w:space="0" w:color="auto"/>
              <w:right w:val="single" w:sz="8" w:space="0" w:color="auto"/>
            </w:tcBorders>
            <w:noWrap/>
            <w:vAlign w:val="bottom"/>
          </w:tcPr>
          <w:p w:rsidR="00060976" w:rsidRPr="007D2CA8" w:rsidRDefault="00060976" w:rsidP="005C4253">
            <w:pPr>
              <w:jc w:val="center"/>
              <w:rPr>
                <w:rFonts w:ascii="Garamond" w:hAnsi="Garamond"/>
                <w:color w:val="000000"/>
                <w:spacing w:val="-4"/>
                <w:sz w:val="20"/>
                <w:szCs w:val="20"/>
              </w:rPr>
            </w:pPr>
          </w:p>
        </w:tc>
        <w:tc>
          <w:tcPr>
            <w:tcW w:w="948" w:type="dxa"/>
            <w:tcBorders>
              <w:top w:val="single" w:sz="12" w:space="0" w:color="auto"/>
              <w:left w:val="single" w:sz="8" w:space="0" w:color="auto"/>
              <w:bottom w:val="single" w:sz="8" w:space="0" w:color="auto"/>
              <w:right w:val="single" w:sz="8" w:space="0" w:color="auto"/>
            </w:tcBorders>
            <w:noWrap/>
            <w:vAlign w:val="center"/>
          </w:tcPr>
          <w:p w:rsidR="00060976" w:rsidRPr="007D2CA8" w:rsidRDefault="00060976" w:rsidP="005C4253">
            <w:pPr>
              <w:jc w:val="center"/>
              <w:rPr>
                <w:rFonts w:ascii="Garamond" w:hAnsi="Garamond"/>
                <w:bCs/>
                <w:color w:val="000000"/>
                <w:spacing w:val="-4"/>
                <w:sz w:val="20"/>
                <w:szCs w:val="20"/>
              </w:rPr>
            </w:pPr>
            <w:r w:rsidRPr="007D2CA8">
              <w:rPr>
                <w:rFonts w:ascii="Garamond" w:hAnsi="Garamond"/>
                <w:bCs/>
                <w:color w:val="000000"/>
                <w:spacing w:val="-4"/>
                <w:sz w:val="20"/>
                <w:szCs w:val="20"/>
              </w:rPr>
              <w:t> </w:t>
            </w:r>
          </w:p>
        </w:tc>
        <w:tc>
          <w:tcPr>
            <w:tcW w:w="1234" w:type="dxa"/>
            <w:tcBorders>
              <w:top w:val="single" w:sz="12" w:space="0" w:color="auto"/>
              <w:left w:val="single" w:sz="8" w:space="0" w:color="auto"/>
              <w:bottom w:val="single" w:sz="8" w:space="0" w:color="auto"/>
              <w:right w:val="single" w:sz="8" w:space="0" w:color="auto"/>
            </w:tcBorders>
            <w:noWrap/>
            <w:vAlign w:val="center"/>
          </w:tcPr>
          <w:p w:rsidR="00060976" w:rsidRPr="007D2CA8" w:rsidRDefault="00060976" w:rsidP="005C4253">
            <w:pPr>
              <w:jc w:val="center"/>
              <w:rPr>
                <w:rFonts w:ascii="Garamond" w:hAnsi="Garamond"/>
                <w:bCs/>
                <w:color w:val="000000"/>
                <w:spacing w:val="-4"/>
                <w:sz w:val="20"/>
                <w:szCs w:val="20"/>
              </w:rPr>
            </w:pPr>
            <w:r w:rsidRPr="007D2CA8">
              <w:rPr>
                <w:rFonts w:ascii="Garamond" w:hAnsi="Garamond"/>
                <w:bCs/>
                <w:color w:val="000000"/>
                <w:spacing w:val="-4"/>
                <w:sz w:val="20"/>
                <w:szCs w:val="20"/>
              </w:rPr>
              <w:t>26</w:t>
            </w:r>
          </w:p>
        </w:tc>
        <w:tc>
          <w:tcPr>
            <w:tcW w:w="1114" w:type="dxa"/>
            <w:tcBorders>
              <w:top w:val="single" w:sz="12" w:space="0" w:color="auto"/>
              <w:left w:val="single" w:sz="8" w:space="0" w:color="auto"/>
              <w:bottom w:val="single" w:sz="8" w:space="0" w:color="auto"/>
              <w:right w:val="single" w:sz="8" w:space="0" w:color="auto"/>
            </w:tcBorders>
            <w:noWrap/>
            <w:vAlign w:val="center"/>
          </w:tcPr>
          <w:p w:rsidR="00060976" w:rsidRPr="007D2CA8" w:rsidRDefault="00060976" w:rsidP="005C4253">
            <w:pPr>
              <w:jc w:val="center"/>
              <w:rPr>
                <w:rFonts w:ascii="Garamond" w:hAnsi="Garamond"/>
                <w:bCs/>
                <w:color w:val="000000"/>
                <w:spacing w:val="-4"/>
                <w:sz w:val="20"/>
                <w:szCs w:val="20"/>
              </w:rPr>
            </w:pPr>
            <w:r w:rsidRPr="007D2CA8">
              <w:rPr>
                <w:rFonts w:ascii="Garamond" w:hAnsi="Garamond"/>
                <w:bCs/>
                <w:color w:val="000000"/>
                <w:spacing w:val="-4"/>
                <w:sz w:val="20"/>
                <w:szCs w:val="20"/>
              </w:rPr>
              <w:t>40</w:t>
            </w:r>
          </w:p>
        </w:tc>
        <w:tc>
          <w:tcPr>
            <w:tcW w:w="1060" w:type="dxa"/>
            <w:tcBorders>
              <w:top w:val="single" w:sz="12" w:space="0" w:color="auto"/>
              <w:left w:val="single" w:sz="8" w:space="0" w:color="auto"/>
              <w:bottom w:val="single" w:sz="8" w:space="0" w:color="auto"/>
              <w:right w:val="single" w:sz="12" w:space="0" w:color="auto"/>
            </w:tcBorders>
            <w:noWrap/>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66</w:t>
            </w:r>
          </w:p>
        </w:tc>
      </w:tr>
      <w:tr w:rsidR="00060976" w:rsidRPr="007D2CA8" w:rsidTr="005C4253">
        <w:trPr>
          <w:trHeight w:val="270"/>
          <w:jc w:val="center"/>
        </w:trPr>
        <w:tc>
          <w:tcPr>
            <w:tcW w:w="2176" w:type="dxa"/>
            <w:tcBorders>
              <w:top w:val="single" w:sz="8" w:space="0" w:color="auto"/>
              <w:left w:val="single" w:sz="12" w:space="0" w:color="auto"/>
              <w:bottom w:val="single" w:sz="12" w:space="0" w:color="auto"/>
              <w:right w:val="single" w:sz="8" w:space="0" w:color="auto"/>
            </w:tcBorders>
            <w:noWrap/>
            <w:vAlign w:val="bottom"/>
          </w:tcPr>
          <w:p w:rsidR="00060976" w:rsidRPr="007D2CA8" w:rsidRDefault="00060976" w:rsidP="005C4253">
            <w:pPr>
              <w:rPr>
                <w:rFonts w:ascii="Garamond" w:hAnsi="Garamond"/>
                <w:color w:val="000000"/>
                <w:spacing w:val="-4"/>
                <w:sz w:val="20"/>
                <w:szCs w:val="20"/>
              </w:rPr>
            </w:pPr>
            <w:r w:rsidRPr="007D2CA8">
              <w:rPr>
                <w:rFonts w:ascii="Garamond" w:hAnsi="Garamond"/>
                <w:color w:val="000000"/>
                <w:spacing w:val="-4"/>
                <w:sz w:val="20"/>
                <w:szCs w:val="20"/>
              </w:rPr>
              <w:t> Peso %</w:t>
            </w:r>
          </w:p>
        </w:tc>
        <w:tc>
          <w:tcPr>
            <w:tcW w:w="1595" w:type="dxa"/>
            <w:tcBorders>
              <w:top w:val="single" w:sz="8" w:space="0" w:color="auto"/>
              <w:left w:val="single" w:sz="8" w:space="0" w:color="auto"/>
              <w:bottom w:val="single" w:sz="12" w:space="0" w:color="auto"/>
              <w:right w:val="single" w:sz="8" w:space="0" w:color="auto"/>
            </w:tcBorders>
            <w:noWrap/>
            <w:vAlign w:val="bottom"/>
          </w:tcPr>
          <w:p w:rsidR="00060976" w:rsidRPr="007D2CA8" w:rsidRDefault="00060976" w:rsidP="005C4253">
            <w:pPr>
              <w:jc w:val="center"/>
              <w:rPr>
                <w:rFonts w:ascii="Garamond" w:hAnsi="Garamond"/>
                <w:color w:val="000000"/>
                <w:spacing w:val="-4"/>
                <w:sz w:val="20"/>
                <w:szCs w:val="20"/>
              </w:rPr>
            </w:pPr>
          </w:p>
        </w:tc>
        <w:tc>
          <w:tcPr>
            <w:tcW w:w="948" w:type="dxa"/>
            <w:tcBorders>
              <w:top w:val="single" w:sz="8" w:space="0" w:color="auto"/>
              <w:left w:val="single" w:sz="8" w:space="0" w:color="auto"/>
              <w:bottom w:val="single" w:sz="12" w:space="0" w:color="auto"/>
              <w:right w:val="single" w:sz="8" w:space="0" w:color="auto"/>
            </w:tcBorders>
            <w:noWrap/>
            <w:vAlign w:val="center"/>
          </w:tcPr>
          <w:p w:rsidR="00060976" w:rsidRPr="007D2CA8" w:rsidRDefault="00060976" w:rsidP="005C4253">
            <w:pPr>
              <w:jc w:val="center"/>
              <w:rPr>
                <w:rFonts w:ascii="Garamond" w:hAnsi="Garamond"/>
                <w:b/>
                <w:bCs/>
                <w:color w:val="000000"/>
                <w:spacing w:val="-4"/>
                <w:sz w:val="20"/>
                <w:szCs w:val="20"/>
              </w:rPr>
            </w:pPr>
            <w:r w:rsidRPr="007D2CA8">
              <w:rPr>
                <w:rFonts w:ascii="Garamond" w:hAnsi="Garamond"/>
                <w:b/>
                <w:bCs/>
                <w:color w:val="000000"/>
                <w:spacing w:val="-4"/>
                <w:sz w:val="20"/>
                <w:szCs w:val="20"/>
              </w:rPr>
              <w:t> </w:t>
            </w:r>
          </w:p>
        </w:tc>
        <w:tc>
          <w:tcPr>
            <w:tcW w:w="1234" w:type="dxa"/>
            <w:tcBorders>
              <w:top w:val="single" w:sz="8" w:space="0" w:color="auto"/>
              <w:left w:val="single" w:sz="8" w:space="0" w:color="auto"/>
              <w:bottom w:val="single" w:sz="12" w:space="0" w:color="auto"/>
              <w:right w:val="single" w:sz="8" w:space="0" w:color="auto"/>
            </w:tcBorders>
            <w:noWrap/>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39%*</w:t>
            </w:r>
          </w:p>
        </w:tc>
        <w:tc>
          <w:tcPr>
            <w:tcW w:w="1114" w:type="dxa"/>
            <w:tcBorders>
              <w:top w:val="single" w:sz="8" w:space="0" w:color="auto"/>
              <w:left w:val="single" w:sz="8" w:space="0" w:color="auto"/>
              <w:bottom w:val="single" w:sz="12" w:space="0" w:color="auto"/>
              <w:right w:val="single" w:sz="8" w:space="0" w:color="auto"/>
            </w:tcBorders>
            <w:noWrap/>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61%*</w:t>
            </w:r>
          </w:p>
        </w:tc>
        <w:tc>
          <w:tcPr>
            <w:tcW w:w="1060" w:type="dxa"/>
            <w:tcBorders>
              <w:top w:val="single" w:sz="8" w:space="0" w:color="auto"/>
              <w:left w:val="single" w:sz="8" w:space="0" w:color="auto"/>
              <w:bottom w:val="single" w:sz="12" w:space="0" w:color="auto"/>
              <w:right w:val="single" w:sz="12" w:space="0" w:color="auto"/>
            </w:tcBorders>
            <w:noWrap/>
            <w:vAlign w:val="center"/>
          </w:tcPr>
          <w:p w:rsidR="00060976" w:rsidRPr="007D2CA8" w:rsidRDefault="00060976" w:rsidP="005C4253">
            <w:pPr>
              <w:jc w:val="center"/>
              <w:rPr>
                <w:rFonts w:ascii="Garamond" w:hAnsi="Garamond"/>
                <w:color w:val="000000"/>
                <w:spacing w:val="-4"/>
                <w:sz w:val="20"/>
                <w:szCs w:val="20"/>
              </w:rPr>
            </w:pPr>
          </w:p>
        </w:tc>
      </w:tr>
      <w:tr w:rsidR="00060976" w:rsidRPr="007D2CA8" w:rsidTr="005C4253">
        <w:trPr>
          <w:trHeight w:val="255"/>
          <w:jc w:val="center"/>
        </w:trPr>
        <w:tc>
          <w:tcPr>
            <w:tcW w:w="2176" w:type="dxa"/>
            <w:tcBorders>
              <w:top w:val="single" w:sz="12" w:space="0" w:color="auto"/>
            </w:tcBorders>
            <w:noWrap/>
            <w:vAlign w:val="bottom"/>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2008</w:t>
            </w:r>
          </w:p>
        </w:tc>
        <w:tc>
          <w:tcPr>
            <w:tcW w:w="1595" w:type="dxa"/>
            <w:tcBorders>
              <w:top w:val="single" w:sz="12" w:space="0" w:color="auto"/>
            </w:tcBorders>
            <w:noWrap/>
            <w:vAlign w:val="bottom"/>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9</w:t>
            </w:r>
          </w:p>
        </w:tc>
        <w:tc>
          <w:tcPr>
            <w:tcW w:w="948" w:type="dxa"/>
            <w:vMerge w:val="restart"/>
            <w:tcBorders>
              <w:top w:val="single" w:sz="12" w:space="0" w:color="auto"/>
            </w:tcBorders>
            <w:noWrap/>
            <w:vAlign w:val="center"/>
          </w:tcPr>
          <w:p w:rsidR="00060976" w:rsidRPr="007D2CA8" w:rsidRDefault="00060976" w:rsidP="005C4253">
            <w:pPr>
              <w:jc w:val="center"/>
              <w:rPr>
                <w:rFonts w:ascii="Garamond" w:hAnsi="Garamond"/>
                <w:bCs/>
                <w:color w:val="000000"/>
                <w:spacing w:val="-4"/>
                <w:sz w:val="20"/>
                <w:szCs w:val="20"/>
              </w:rPr>
            </w:pPr>
            <w:r w:rsidRPr="007D2CA8">
              <w:rPr>
                <w:rFonts w:ascii="Garamond" w:hAnsi="Garamond"/>
                <w:bCs/>
                <w:color w:val="000000"/>
                <w:spacing w:val="-4"/>
                <w:sz w:val="20"/>
                <w:szCs w:val="20"/>
              </w:rPr>
              <w:t>43</w:t>
            </w:r>
          </w:p>
        </w:tc>
        <w:tc>
          <w:tcPr>
            <w:tcW w:w="1234" w:type="dxa"/>
            <w:tcBorders>
              <w:top w:val="single" w:sz="12" w:space="0" w:color="auto"/>
            </w:tcBorders>
            <w:noWrap/>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28</w:t>
            </w:r>
          </w:p>
        </w:tc>
        <w:tc>
          <w:tcPr>
            <w:tcW w:w="1114" w:type="dxa"/>
            <w:tcBorders>
              <w:top w:val="single" w:sz="12" w:space="0" w:color="auto"/>
            </w:tcBorders>
            <w:noWrap/>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6</w:t>
            </w:r>
          </w:p>
        </w:tc>
        <w:tc>
          <w:tcPr>
            <w:tcW w:w="1060" w:type="dxa"/>
            <w:tcBorders>
              <w:top w:val="single" w:sz="12" w:space="0" w:color="auto"/>
            </w:tcBorders>
            <w:noWrap/>
            <w:vAlign w:val="center"/>
          </w:tcPr>
          <w:p w:rsidR="00060976" w:rsidRPr="007D2CA8" w:rsidRDefault="00060976" w:rsidP="005C4253">
            <w:pPr>
              <w:jc w:val="center"/>
              <w:rPr>
                <w:rFonts w:ascii="Garamond" w:hAnsi="Garamond"/>
                <w:color w:val="000000"/>
                <w:spacing w:val="-4"/>
                <w:sz w:val="20"/>
                <w:szCs w:val="20"/>
              </w:rPr>
            </w:pPr>
          </w:p>
        </w:tc>
      </w:tr>
      <w:tr w:rsidR="00060976" w:rsidRPr="007D2CA8" w:rsidTr="005C4253">
        <w:trPr>
          <w:trHeight w:val="255"/>
          <w:jc w:val="center"/>
        </w:trPr>
        <w:tc>
          <w:tcPr>
            <w:tcW w:w="2176" w:type="dxa"/>
            <w:noWrap/>
            <w:vAlign w:val="bottom"/>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2009</w:t>
            </w:r>
          </w:p>
        </w:tc>
        <w:tc>
          <w:tcPr>
            <w:tcW w:w="1595" w:type="dxa"/>
            <w:noWrap/>
            <w:vAlign w:val="bottom"/>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12</w:t>
            </w:r>
          </w:p>
        </w:tc>
        <w:tc>
          <w:tcPr>
            <w:tcW w:w="948" w:type="dxa"/>
            <w:vMerge/>
            <w:vAlign w:val="center"/>
          </w:tcPr>
          <w:p w:rsidR="00060976" w:rsidRPr="007D2CA8" w:rsidRDefault="00060976" w:rsidP="005C4253">
            <w:pPr>
              <w:rPr>
                <w:rFonts w:ascii="Garamond" w:hAnsi="Garamond"/>
                <w:b/>
                <w:bCs/>
                <w:color w:val="000000"/>
                <w:spacing w:val="-4"/>
                <w:sz w:val="20"/>
                <w:szCs w:val="20"/>
              </w:rPr>
            </w:pPr>
          </w:p>
        </w:tc>
        <w:tc>
          <w:tcPr>
            <w:tcW w:w="1234" w:type="dxa"/>
            <w:noWrap/>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31</w:t>
            </w:r>
          </w:p>
        </w:tc>
        <w:tc>
          <w:tcPr>
            <w:tcW w:w="1114" w:type="dxa"/>
            <w:noWrap/>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13</w:t>
            </w:r>
          </w:p>
        </w:tc>
        <w:tc>
          <w:tcPr>
            <w:tcW w:w="1060" w:type="dxa"/>
            <w:noWrap/>
            <w:vAlign w:val="center"/>
          </w:tcPr>
          <w:p w:rsidR="00060976" w:rsidRPr="007D2CA8" w:rsidRDefault="00060976" w:rsidP="005C4253">
            <w:pPr>
              <w:jc w:val="center"/>
              <w:rPr>
                <w:rFonts w:ascii="Garamond" w:hAnsi="Garamond"/>
                <w:color w:val="000000"/>
                <w:spacing w:val="-4"/>
                <w:sz w:val="20"/>
                <w:szCs w:val="20"/>
              </w:rPr>
            </w:pPr>
          </w:p>
        </w:tc>
      </w:tr>
      <w:tr w:rsidR="00060976" w:rsidRPr="007D2CA8" w:rsidTr="005C4253">
        <w:trPr>
          <w:trHeight w:val="255"/>
          <w:jc w:val="center"/>
        </w:trPr>
        <w:tc>
          <w:tcPr>
            <w:tcW w:w="2176" w:type="dxa"/>
            <w:noWrap/>
            <w:vAlign w:val="bottom"/>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2010</w:t>
            </w:r>
          </w:p>
        </w:tc>
        <w:tc>
          <w:tcPr>
            <w:tcW w:w="1595" w:type="dxa"/>
            <w:noWrap/>
            <w:vAlign w:val="bottom"/>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9</w:t>
            </w:r>
          </w:p>
        </w:tc>
        <w:tc>
          <w:tcPr>
            <w:tcW w:w="948" w:type="dxa"/>
            <w:vMerge/>
            <w:vAlign w:val="center"/>
          </w:tcPr>
          <w:p w:rsidR="00060976" w:rsidRPr="007D2CA8" w:rsidRDefault="00060976" w:rsidP="005C4253">
            <w:pPr>
              <w:rPr>
                <w:rFonts w:ascii="Garamond" w:hAnsi="Garamond"/>
                <w:b/>
                <w:bCs/>
                <w:color w:val="000000"/>
                <w:spacing w:val="-4"/>
                <w:sz w:val="20"/>
                <w:szCs w:val="20"/>
              </w:rPr>
            </w:pPr>
          </w:p>
        </w:tc>
        <w:tc>
          <w:tcPr>
            <w:tcW w:w="1234" w:type="dxa"/>
            <w:noWrap/>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30</w:t>
            </w:r>
          </w:p>
        </w:tc>
        <w:tc>
          <w:tcPr>
            <w:tcW w:w="1114" w:type="dxa"/>
            <w:noWrap/>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19</w:t>
            </w:r>
          </w:p>
        </w:tc>
        <w:tc>
          <w:tcPr>
            <w:tcW w:w="1060" w:type="dxa"/>
            <w:noWrap/>
            <w:vAlign w:val="center"/>
          </w:tcPr>
          <w:p w:rsidR="00060976" w:rsidRPr="007D2CA8" w:rsidRDefault="00060976" w:rsidP="005C4253">
            <w:pPr>
              <w:jc w:val="center"/>
              <w:rPr>
                <w:rFonts w:ascii="Garamond" w:hAnsi="Garamond"/>
                <w:color w:val="000000"/>
                <w:spacing w:val="-4"/>
                <w:sz w:val="20"/>
                <w:szCs w:val="20"/>
              </w:rPr>
            </w:pPr>
          </w:p>
        </w:tc>
      </w:tr>
      <w:tr w:rsidR="00060976" w:rsidRPr="007D2CA8" w:rsidTr="005C4253">
        <w:trPr>
          <w:trHeight w:val="270"/>
          <w:jc w:val="center"/>
        </w:trPr>
        <w:tc>
          <w:tcPr>
            <w:tcW w:w="2176" w:type="dxa"/>
            <w:tcBorders>
              <w:bottom w:val="single" w:sz="12" w:space="0" w:color="auto"/>
            </w:tcBorders>
            <w:noWrap/>
            <w:vAlign w:val="bottom"/>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2011</w:t>
            </w:r>
          </w:p>
        </w:tc>
        <w:tc>
          <w:tcPr>
            <w:tcW w:w="1595" w:type="dxa"/>
            <w:tcBorders>
              <w:bottom w:val="single" w:sz="12" w:space="0" w:color="auto"/>
            </w:tcBorders>
            <w:noWrap/>
            <w:vAlign w:val="bottom"/>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13</w:t>
            </w:r>
          </w:p>
        </w:tc>
        <w:tc>
          <w:tcPr>
            <w:tcW w:w="948" w:type="dxa"/>
            <w:vMerge/>
            <w:tcBorders>
              <w:bottom w:val="single" w:sz="12" w:space="0" w:color="auto"/>
            </w:tcBorders>
            <w:vAlign w:val="center"/>
          </w:tcPr>
          <w:p w:rsidR="00060976" w:rsidRPr="007D2CA8" w:rsidRDefault="00060976" w:rsidP="005C4253">
            <w:pPr>
              <w:rPr>
                <w:rFonts w:ascii="Garamond" w:hAnsi="Garamond"/>
                <w:b/>
                <w:bCs/>
                <w:color w:val="000000"/>
                <w:spacing w:val="-4"/>
                <w:sz w:val="20"/>
                <w:szCs w:val="20"/>
              </w:rPr>
            </w:pPr>
          </w:p>
        </w:tc>
        <w:tc>
          <w:tcPr>
            <w:tcW w:w="1234" w:type="dxa"/>
            <w:tcBorders>
              <w:bottom w:val="single" w:sz="12" w:space="0" w:color="auto"/>
            </w:tcBorders>
            <w:noWrap/>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34</w:t>
            </w:r>
          </w:p>
        </w:tc>
        <w:tc>
          <w:tcPr>
            <w:tcW w:w="1114" w:type="dxa"/>
            <w:tcBorders>
              <w:bottom w:val="single" w:sz="12" w:space="0" w:color="auto"/>
            </w:tcBorders>
            <w:noWrap/>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21</w:t>
            </w:r>
          </w:p>
        </w:tc>
        <w:tc>
          <w:tcPr>
            <w:tcW w:w="1060" w:type="dxa"/>
            <w:tcBorders>
              <w:bottom w:val="single" w:sz="12" w:space="0" w:color="auto"/>
            </w:tcBorders>
            <w:noWrap/>
            <w:vAlign w:val="center"/>
          </w:tcPr>
          <w:p w:rsidR="00060976" w:rsidRPr="007D2CA8" w:rsidRDefault="00060976" w:rsidP="005C4253">
            <w:pPr>
              <w:jc w:val="center"/>
              <w:rPr>
                <w:rFonts w:ascii="Garamond" w:hAnsi="Garamond"/>
                <w:color w:val="000000"/>
                <w:spacing w:val="-4"/>
                <w:sz w:val="20"/>
                <w:szCs w:val="20"/>
              </w:rPr>
            </w:pPr>
          </w:p>
        </w:tc>
      </w:tr>
      <w:tr w:rsidR="00060976" w:rsidRPr="007D2CA8" w:rsidTr="005C4253">
        <w:trPr>
          <w:trHeight w:val="270"/>
          <w:jc w:val="center"/>
        </w:trPr>
        <w:tc>
          <w:tcPr>
            <w:tcW w:w="2176" w:type="dxa"/>
            <w:tcBorders>
              <w:top w:val="single" w:sz="12" w:space="0" w:color="auto"/>
              <w:left w:val="single" w:sz="12" w:space="0" w:color="auto"/>
              <w:bottom w:val="single" w:sz="8" w:space="0" w:color="auto"/>
              <w:right w:val="single" w:sz="8" w:space="0" w:color="auto"/>
            </w:tcBorders>
            <w:noWrap/>
            <w:vAlign w:val="bottom"/>
          </w:tcPr>
          <w:p w:rsidR="00060976" w:rsidRPr="007D2CA8" w:rsidRDefault="00060976" w:rsidP="005C4253">
            <w:pPr>
              <w:rPr>
                <w:rFonts w:ascii="Garamond" w:hAnsi="Garamond"/>
                <w:color w:val="000000"/>
                <w:spacing w:val="-4"/>
                <w:sz w:val="20"/>
                <w:szCs w:val="20"/>
              </w:rPr>
            </w:pPr>
            <w:r w:rsidRPr="007D2CA8">
              <w:rPr>
                <w:rFonts w:ascii="Garamond" w:hAnsi="Garamond"/>
                <w:color w:val="000000"/>
                <w:spacing w:val="-4"/>
                <w:sz w:val="20"/>
                <w:szCs w:val="20"/>
              </w:rPr>
              <w:t> Sub-totale</w:t>
            </w:r>
          </w:p>
        </w:tc>
        <w:tc>
          <w:tcPr>
            <w:tcW w:w="1595" w:type="dxa"/>
            <w:tcBorders>
              <w:top w:val="single" w:sz="12" w:space="0" w:color="auto"/>
              <w:left w:val="single" w:sz="8" w:space="0" w:color="auto"/>
              <w:bottom w:val="single" w:sz="8" w:space="0" w:color="auto"/>
              <w:right w:val="single" w:sz="8" w:space="0" w:color="auto"/>
            </w:tcBorders>
            <w:noWrap/>
            <w:vAlign w:val="bottom"/>
          </w:tcPr>
          <w:p w:rsidR="00060976" w:rsidRPr="007D2CA8" w:rsidRDefault="00060976" w:rsidP="005C4253">
            <w:pPr>
              <w:jc w:val="center"/>
              <w:rPr>
                <w:rFonts w:ascii="Garamond" w:hAnsi="Garamond"/>
                <w:color w:val="000000"/>
                <w:spacing w:val="-4"/>
                <w:sz w:val="20"/>
                <w:szCs w:val="20"/>
              </w:rPr>
            </w:pPr>
          </w:p>
        </w:tc>
        <w:tc>
          <w:tcPr>
            <w:tcW w:w="948" w:type="dxa"/>
            <w:tcBorders>
              <w:top w:val="single" w:sz="12" w:space="0" w:color="auto"/>
              <w:left w:val="single" w:sz="8" w:space="0" w:color="auto"/>
              <w:bottom w:val="single" w:sz="8" w:space="0" w:color="auto"/>
              <w:right w:val="single" w:sz="8" w:space="0" w:color="auto"/>
            </w:tcBorders>
            <w:noWrap/>
            <w:vAlign w:val="center"/>
          </w:tcPr>
          <w:p w:rsidR="00060976" w:rsidRPr="007D2CA8" w:rsidRDefault="00060976" w:rsidP="005C4253">
            <w:pPr>
              <w:jc w:val="center"/>
              <w:rPr>
                <w:rFonts w:ascii="Garamond" w:hAnsi="Garamond"/>
                <w:bCs/>
                <w:color w:val="000000"/>
                <w:spacing w:val="-4"/>
                <w:sz w:val="20"/>
                <w:szCs w:val="20"/>
              </w:rPr>
            </w:pPr>
            <w:r w:rsidRPr="007D2CA8">
              <w:rPr>
                <w:rFonts w:ascii="Garamond" w:hAnsi="Garamond"/>
                <w:bCs/>
                <w:color w:val="000000"/>
                <w:spacing w:val="-4"/>
                <w:sz w:val="20"/>
                <w:szCs w:val="20"/>
              </w:rPr>
              <w:t> </w:t>
            </w:r>
          </w:p>
        </w:tc>
        <w:tc>
          <w:tcPr>
            <w:tcW w:w="1234" w:type="dxa"/>
            <w:tcBorders>
              <w:top w:val="single" w:sz="12" w:space="0" w:color="auto"/>
              <w:left w:val="single" w:sz="8" w:space="0" w:color="auto"/>
              <w:bottom w:val="single" w:sz="8" w:space="0" w:color="auto"/>
              <w:right w:val="single" w:sz="8" w:space="0" w:color="auto"/>
            </w:tcBorders>
            <w:noWrap/>
            <w:vAlign w:val="center"/>
          </w:tcPr>
          <w:p w:rsidR="00060976" w:rsidRPr="007D2CA8" w:rsidRDefault="00060976" w:rsidP="005C4253">
            <w:pPr>
              <w:jc w:val="center"/>
              <w:rPr>
                <w:rFonts w:ascii="Garamond" w:hAnsi="Garamond"/>
                <w:bCs/>
                <w:color w:val="000000"/>
                <w:spacing w:val="-4"/>
                <w:sz w:val="20"/>
                <w:szCs w:val="20"/>
              </w:rPr>
            </w:pPr>
            <w:r w:rsidRPr="007D2CA8">
              <w:rPr>
                <w:rFonts w:ascii="Garamond" w:hAnsi="Garamond"/>
                <w:bCs/>
                <w:color w:val="000000"/>
                <w:spacing w:val="-4"/>
                <w:sz w:val="20"/>
                <w:szCs w:val="20"/>
              </w:rPr>
              <w:t>123</w:t>
            </w:r>
          </w:p>
        </w:tc>
        <w:tc>
          <w:tcPr>
            <w:tcW w:w="1114" w:type="dxa"/>
            <w:tcBorders>
              <w:top w:val="single" w:sz="12" w:space="0" w:color="auto"/>
              <w:left w:val="single" w:sz="8" w:space="0" w:color="auto"/>
              <w:bottom w:val="single" w:sz="8" w:space="0" w:color="auto"/>
              <w:right w:val="single" w:sz="8" w:space="0" w:color="auto"/>
            </w:tcBorders>
            <w:noWrap/>
            <w:vAlign w:val="center"/>
          </w:tcPr>
          <w:p w:rsidR="00060976" w:rsidRPr="007D2CA8" w:rsidRDefault="00060976" w:rsidP="005C4253">
            <w:pPr>
              <w:jc w:val="center"/>
              <w:rPr>
                <w:rFonts w:ascii="Garamond" w:hAnsi="Garamond"/>
                <w:bCs/>
                <w:color w:val="000000"/>
                <w:spacing w:val="-4"/>
                <w:sz w:val="20"/>
                <w:szCs w:val="20"/>
              </w:rPr>
            </w:pPr>
            <w:r w:rsidRPr="007D2CA8">
              <w:rPr>
                <w:rFonts w:ascii="Garamond" w:hAnsi="Garamond"/>
                <w:bCs/>
                <w:color w:val="000000"/>
                <w:spacing w:val="-4"/>
                <w:sz w:val="20"/>
                <w:szCs w:val="20"/>
              </w:rPr>
              <w:t>59</w:t>
            </w:r>
          </w:p>
        </w:tc>
        <w:tc>
          <w:tcPr>
            <w:tcW w:w="1060" w:type="dxa"/>
            <w:tcBorders>
              <w:top w:val="single" w:sz="12" w:space="0" w:color="auto"/>
              <w:left w:val="single" w:sz="8" w:space="0" w:color="auto"/>
              <w:bottom w:val="single" w:sz="8" w:space="0" w:color="auto"/>
              <w:right w:val="single" w:sz="12" w:space="0" w:color="auto"/>
            </w:tcBorders>
            <w:noWrap/>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182</w:t>
            </w:r>
          </w:p>
        </w:tc>
      </w:tr>
      <w:tr w:rsidR="00060976" w:rsidRPr="007D2CA8" w:rsidTr="005C4253">
        <w:trPr>
          <w:trHeight w:val="270"/>
          <w:jc w:val="center"/>
        </w:trPr>
        <w:tc>
          <w:tcPr>
            <w:tcW w:w="2176" w:type="dxa"/>
            <w:tcBorders>
              <w:top w:val="single" w:sz="8" w:space="0" w:color="auto"/>
              <w:left w:val="single" w:sz="12" w:space="0" w:color="auto"/>
              <w:bottom w:val="single" w:sz="12" w:space="0" w:color="auto"/>
              <w:right w:val="single" w:sz="8" w:space="0" w:color="auto"/>
            </w:tcBorders>
            <w:noWrap/>
            <w:vAlign w:val="bottom"/>
          </w:tcPr>
          <w:p w:rsidR="00060976" w:rsidRPr="007D2CA8" w:rsidRDefault="00060976" w:rsidP="005C4253">
            <w:pPr>
              <w:rPr>
                <w:rFonts w:ascii="Garamond" w:hAnsi="Garamond"/>
                <w:color w:val="000000"/>
                <w:spacing w:val="-4"/>
                <w:sz w:val="20"/>
                <w:szCs w:val="20"/>
              </w:rPr>
            </w:pPr>
            <w:r w:rsidRPr="007D2CA8">
              <w:rPr>
                <w:rFonts w:ascii="Garamond" w:hAnsi="Garamond"/>
                <w:color w:val="000000"/>
                <w:spacing w:val="-4"/>
                <w:sz w:val="20"/>
                <w:szCs w:val="20"/>
              </w:rPr>
              <w:t> Peso %</w:t>
            </w:r>
          </w:p>
        </w:tc>
        <w:tc>
          <w:tcPr>
            <w:tcW w:w="1595" w:type="dxa"/>
            <w:tcBorders>
              <w:top w:val="single" w:sz="8" w:space="0" w:color="auto"/>
              <w:left w:val="single" w:sz="8" w:space="0" w:color="auto"/>
              <w:bottom w:val="single" w:sz="12" w:space="0" w:color="auto"/>
              <w:right w:val="single" w:sz="8" w:space="0" w:color="auto"/>
            </w:tcBorders>
            <w:noWrap/>
            <w:vAlign w:val="bottom"/>
          </w:tcPr>
          <w:p w:rsidR="00060976" w:rsidRPr="007D2CA8" w:rsidRDefault="00060976" w:rsidP="005C4253">
            <w:pPr>
              <w:jc w:val="center"/>
              <w:rPr>
                <w:rFonts w:ascii="Garamond" w:hAnsi="Garamond"/>
                <w:color w:val="000000"/>
                <w:spacing w:val="-4"/>
                <w:sz w:val="20"/>
                <w:szCs w:val="20"/>
              </w:rPr>
            </w:pPr>
          </w:p>
        </w:tc>
        <w:tc>
          <w:tcPr>
            <w:tcW w:w="948" w:type="dxa"/>
            <w:tcBorders>
              <w:top w:val="single" w:sz="8" w:space="0" w:color="auto"/>
              <w:left w:val="single" w:sz="8" w:space="0" w:color="auto"/>
              <w:bottom w:val="single" w:sz="12" w:space="0" w:color="auto"/>
              <w:right w:val="single" w:sz="8" w:space="0" w:color="auto"/>
            </w:tcBorders>
            <w:noWrap/>
            <w:vAlign w:val="center"/>
          </w:tcPr>
          <w:p w:rsidR="00060976" w:rsidRPr="007D2CA8" w:rsidRDefault="00060976" w:rsidP="005C4253">
            <w:pPr>
              <w:jc w:val="center"/>
              <w:rPr>
                <w:rFonts w:ascii="Garamond" w:hAnsi="Garamond"/>
                <w:b/>
                <w:bCs/>
                <w:color w:val="000000"/>
                <w:spacing w:val="-4"/>
                <w:sz w:val="20"/>
                <w:szCs w:val="20"/>
              </w:rPr>
            </w:pPr>
            <w:r w:rsidRPr="007D2CA8">
              <w:rPr>
                <w:rFonts w:ascii="Garamond" w:hAnsi="Garamond"/>
                <w:b/>
                <w:bCs/>
                <w:color w:val="000000"/>
                <w:spacing w:val="-4"/>
                <w:sz w:val="20"/>
                <w:szCs w:val="20"/>
              </w:rPr>
              <w:t> </w:t>
            </w:r>
          </w:p>
        </w:tc>
        <w:tc>
          <w:tcPr>
            <w:tcW w:w="1234" w:type="dxa"/>
            <w:tcBorders>
              <w:top w:val="single" w:sz="8" w:space="0" w:color="auto"/>
              <w:left w:val="single" w:sz="8" w:space="0" w:color="auto"/>
              <w:bottom w:val="single" w:sz="12" w:space="0" w:color="auto"/>
              <w:right w:val="single" w:sz="8" w:space="0" w:color="auto"/>
            </w:tcBorders>
            <w:noWrap/>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69%*</w:t>
            </w:r>
          </w:p>
        </w:tc>
        <w:tc>
          <w:tcPr>
            <w:tcW w:w="1114" w:type="dxa"/>
            <w:tcBorders>
              <w:top w:val="single" w:sz="8" w:space="0" w:color="auto"/>
              <w:left w:val="single" w:sz="8" w:space="0" w:color="auto"/>
              <w:bottom w:val="single" w:sz="12" w:space="0" w:color="auto"/>
              <w:right w:val="single" w:sz="8" w:space="0" w:color="auto"/>
            </w:tcBorders>
            <w:noWrap/>
            <w:vAlign w:val="center"/>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31%*</w:t>
            </w:r>
          </w:p>
        </w:tc>
        <w:tc>
          <w:tcPr>
            <w:tcW w:w="1060" w:type="dxa"/>
            <w:tcBorders>
              <w:top w:val="single" w:sz="8" w:space="0" w:color="auto"/>
              <w:left w:val="single" w:sz="8" w:space="0" w:color="auto"/>
              <w:bottom w:val="single" w:sz="12" w:space="0" w:color="auto"/>
              <w:right w:val="single" w:sz="12" w:space="0" w:color="auto"/>
            </w:tcBorders>
            <w:noWrap/>
            <w:vAlign w:val="center"/>
          </w:tcPr>
          <w:p w:rsidR="00060976" w:rsidRPr="007D2CA8" w:rsidRDefault="00060976" w:rsidP="005C4253">
            <w:pPr>
              <w:jc w:val="center"/>
              <w:rPr>
                <w:rFonts w:ascii="Garamond" w:hAnsi="Garamond"/>
                <w:color w:val="000000"/>
                <w:spacing w:val="-4"/>
                <w:sz w:val="20"/>
                <w:szCs w:val="20"/>
              </w:rPr>
            </w:pPr>
          </w:p>
        </w:tc>
      </w:tr>
      <w:tr w:rsidR="00060976" w:rsidRPr="007D2CA8" w:rsidTr="003C4BCB">
        <w:trPr>
          <w:trHeight w:val="270"/>
          <w:jc w:val="center"/>
        </w:trPr>
        <w:tc>
          <w:tcPr>
            <w:tcW w:w="2176" w:type="dxa"/>
            <w:tcBorders>
              <w:top w:val="single" w:sz="12" w:space="0" w:color="auto"/>
              <w:bottom w:val="single" w:sz="12" w:space="0" w:color="auto"/>
            </w:tcBorders>
            <w:noWrap/>
            <w:vAlign w:val="bottom"/>
          </w:tcPr>
          <w:p w:rsidR="00060976" w:rsidRPr="007D2CA8" w:rsidRDefault="00060976" w:rsidP="005C4253">
            <w:pPr>
              <w:rPr>
                <w:rFonts w:ascii="Garamond" w:hAnsi="Garamond"/>
                <w:color w:val="000000"/>
                <w:spacing w:val="-4"/>
                <w:sz w:val="20"/>
                <w:szCs w:val="20"/>
              </w:rPr>
            </w:pPr>
            <w:r w:rsidRPr="007D2CA8">
              <w:rPr>
                <w:rFonts w:ascii="Garamond" w:hAnsi="Garamond"/>
                <w:color w:val="000000"/>
                <w:spacing w:val="-4"/>
                <w:sz w:val="20"/>
                <w:szCs w:val="20"/>
              </w:rPr>
              <w:t> TOTALE</w:t>
            </w:r>
          </w:p>
        </w:tc>
        <w:tc>
          <w:tcPr>
            <w:tcW w:w="1595" w:type="dxa"/>
            <w:tcBorders>
              <w:top w:val="single" w:sz="12" w:space="0" w:color="auto"/>
              <w:bottom w:val="single" w:sz="12" w:space="0" w:color="auto"/>
            </w:tcBorders>
            <w:noWrap/>
            <w:vAlign w:val="center"/>
          </w:tcPr>
          <w:p w:rsidR="00060976" w:rsidRPr="007D2CA8" w:rsidRDefault="00060976" w:rsidP="005C4253">
            <w:pPr>
              <w:jc w:val="center"/>
              <w:rPr>
                <w:rFonts w:ascii="Garamond" w:hAnsi="Garamond"/>
                <w:bCs/>
                <w:color w:val="000000"/>
                <w:spacing w:val="-4"/>
                <w:sz w:val="20"/>
                <w:szCs w:val="20"/>
              </w:rPr>
            </w:pPr>
          </w:p>
        </w:tc>
        <w:tc>
          <w:tcPr>
            <w:tcW w:w="948" w:type="dxa"/>
            <w:tcBorders>
              <w:top w:val="single" w:sz="12" w:space="0" w:color="auto"/>
              <w:bottom w:val="single" w:sz="12" w:space="0" w:color="auto"/>
            </w:tcBorders>
            <w:noWrap/>
            <w:vAlign w:val="bottom"/>
          </w:tcPr>
          <w:p w:rsidR="00060976" w:rsidRPr="007D2CA8" w:rsidRDefault="00060976" w:rsidP="005C4253">
            <w:pPr>
              <w:jc w:val="center"/>
              <w:rPr>
                <w:rFonts w:ascii="Garamond" w:hAnsi="Garamond"/>
                <w:color w:val="000000"/>
                <w:spacing w:val="-4"/>
                <w:sz w:val="20"/>
                <w:szCs w:val="20"/>
              </w:rPr>
            </w:pPr>
            <w:r w:rsidRPr="007D2CA8">
              <w:rPr>
                <w:rFonts w:ascii="Garamond" w:hAnsi="Garamond"/>
                <w:color w:val="000000"/>
                <w:spacing w:val="-4"/>
                <w:sz w:val="20"/>
                <w:szCs w:val="20"/>
              </w:rPr>
              <w:t> </w:t>
            </w:r>
            <w:r w:rsidRPr="007D2CA8">
              <w:rPr>
                <w:rFonts w:ascii="Garamond" w:hAnsi="Garamond"/>
                <w:bCs/>
                <w:color w:val="000000"/>
                <w:spacing w:val="-4"/>
                <w:sz w:val="20"/>
                <w:szCs w:val="20"/>
              </w:rPr>
              <w:t>61</w:t>
            </w:r>
          </w:p>
        </w:tc>
        <w:tc>
          <w:tcPr>
            <w:tcW w:w="1234" w:type="dxa"/>
            <w:tcBorders>
              <w:top w:val="single" w:sz="12" w:space="0" w:color="auto"/>
              <w:bottom w:val="single" w:sz="12" w:space="0" w:color="auto"/>
            </w:tcBorders>
            <w:noWrap/>
            <w:vAlign w:val="center"/>
          </w:tcPr>
          <w:p w:rsidR="00060976" w:rsidRPr="007D2CA8" w:rsidRDefault="00060976" w:rsidP="005C4253">
            <w:pPr>
              <w:jc w:val="center"/>
              <w:rPr>
                <w:rFonts w:ascii="Garamond" w:hAnsi="Garamond"/>
                <w:bCs/>
                <w:color w:val="000000"/>
                <w:spacing w:val="-4"/>
                <w:sz w:val="20"/>
                <w:szCs w:val="20"/>
              </w:rPr>
            </w:pPr>
            <w:r w:rsidRPr="007D2CA8">
              <w:rPr>
                <w:rFonts w:ascii="Garamond" w:hAnsi="Garamond"/>
                <w:bCs/>
                <w:color w:val="000000"/>
                <w:spacing w:val="-4"/>
                <w:sz w:val="20"/>
                <w:szCs w:val="20"/>
              </w:rPr>
              <w:t>149</w:t>
            </w:r>
          </w:p>
        </w:tc>
        <w:tc>
          <w:tcPr>
            <w:tcW w:w="1114" w:type="dxa"/>
            <w:tcBorders>
              <w:top w:val="single" w:sz="12" w:space="0" w:color="auto"/>
              <w:bottom w:val="single" w:sz="12" w:space="0" w:color="auto"/>
            </w:tcBorders>
            <w:noWrap/>
            <w:vAlign w:val="center"/>
          </w:tcPr>
          <w:p w:rsidR="00060976" w:rsidRPr="007D2CA8" w:rsidRDefault="00060976" w:rsidP="005C4253">
            <w:pPr>
              <w:jc w:val="center"/>
              <w:rPr>
                <w:rFonts w:ascii="Garamond" w:hAnsi="Garamond"/>
                <w:bCs/>
                <w:color w:val="000000"/>
                <w:spacing w:val="-4"/>
                <w:sz w:val="20"/>
                <w:szCs w:val="20"/>
              </w:rPr>
            </w:pPr>
            <w:r w:rsidRPr="007D2CA8">
              <w:rPr>
                <w:rFonts w:ascii="Garamond" w:hAnsi="Garamond"/>
                <w:bCs/>
                <w:color w:val="000000"/>
                <w:spacing w:val="-4"/>
                <w:sz w:val="20"/>
                <w:szCs w:val="20"/>
              </w:rPr>
              <w:t>99</w:t>
            </w:r>
          </w:p>
        </w:tc>
        <w:tc>
          <w:tcPr>
            <w:tcW w:w="1060" w:type="dxa"/>
            <w:tcBorders>
              <w:top w:val="single" w:sz="12" w:space="0" w:color="auto"/>
              <w:bottom w:val="single" w:sz="12" w:space="0" w:color="auto"/>
            </w:tcBorders>
            <w:noWrap/>
            <w:vAlign w:val="center"/>
          </w:tcPr>
          <w:p w:rsidR="00060976" w:rsidRPr="007D2CA8" w:rsidRDefault="00060976" w:rsidP="005C4253">
            <w:pPr>
              <w:jc w:val="center"/>
              <w:rPr>
                <w:rFonts w:ascii="Garamond" w:hAnsi="Garamond"/>
                <w:bCs/>
                <w:color w:val="000000"/>
                <w:spacing w:val="-4"/>
                <w:sz w:val="20"/>
                <w:szCs w:val="20"/>
              </w:rPr>
            </w:pPr>
            <w:r w:rsidRPr="007D2CA8">
              <w:rPr>
                <w:rFonts w:ascii="Garamond" w:hAnsi="Garamond"/>
                <w:bCs/>
                <w:color w:val="000000"/>
                <w:spacing w:val="-4"/>
                <w:sz w:val="20"/>
                <w:szCs w:val="20"/>
              </w:rPr>
              <w:t>248</w:t>
            </w:r>
          </w:p>
        </w:tc>
      </w:tr>
    </w:tbl>
    <w:p w:rsidR="003C4BCB" w:rsidRPr="003C4BCB" w:rsidRDefault="003C4BCB" w:rsidP="003C4BCB">
      <w:pPr>
        <w:spacing w:before="60"/>
        <w:rPr>
          <w:rFonts w:ascii="Garamond" w:hAnsi="Garamond"/>
          <w:color w:val="000000"/>
          <w:spacing w:val="-4"/>
          <w:sz w:val="20"/>
          <w:szCs w:val="20"/>
        </w:rPr>
      </w:pPr>
      <w:r w:rsidRPr="003C4BCB">
        <w:rPr>
          <w:rFonts w:ascii="Garamond" w:hAnsi="Garamond"/>
          <w:color w:val="000000"/>
          <w:spacing w:val="-4"/>
          <w:sz w:val="20"/>
          <w:szCs w:val="20"/>
          <w:highlight w:val="yellow"/>
        </w:rPr>
        <w:t>*</w:t>
      </w:r>
      <w:r w:rsidRPr="003C4BCB">
        <w:rPr>
          <w:rFonts w:ascii="Garamond" w:hAnsi="Garamond"/>
          <w:sz w:val="20"/>
          <w:szCs w:val="20"/>
          <w:highlight w:val="yellow"/>
        </w:rPr>
        <w:t xml:space="preserve"> </w:t>
      </w:r>
      <w:r w:rsidRPr="003C4BCB">
        <w:rPr>
          <w:rFonts w:ascii="Garamond" w:hAnsi="Garamond" w:cs="Arial"/>
          <w:noProof/>
          <w:color w:val="000000"/>
          <w:spacing w:val="-2"/>
          <w:sz w:val="20"/>
          <w:szCs w:val="20"/>
          <w:highlight w:val="yellow"/>
        </w:rPr>
        <w:t>La differenza percentuale tra i due periodi risulta statisticamente significativa, applicando il test del Chi quadrato (N = 248; X = 16,05; p-value = 0,00).</w:t>
      </w:r>
    </w:p>
    <w:p w:rsidR="00024F4F" w:rsidRPr="007D2CA8" w:rsidRDefault="00024F4F" w:rsidP="005B7C49">
      <w:pPr>
        <w:pStyle w:val="ASottotitoloNumerato"/>
        <w:widowControl/>
        <w:rPr>
          <w:spacing w:val="-4"/>
        </w:rPr>
      </w:pPr>
      <w:r w:rsidRPr="007D2CA8">
        <w:rPr>
          <w:spacing w:val="-4"/>
        </w:rPr>
        <w:t>Conclusioni</w:t>
      </w:r>
    </w:p>
    <w:p w:rsidR="00024F4F" w:rsidRPr="007D2CA8" w:rsidRDefault="00024F4F" w:rsidP="005B7C49">
      <w:pPr>
        <w:pStyle w:val="ATesto"/>
        <w:widowControl/>
        <w:rPr>
          <w:noProof/>
          <w:spacing w:val="-4"/>
          <w:lang w:val="it-IT"/>
        </w:rPr>
      </w:pPr>
      <w:r w:rsidRPr="007D2CA8">
        <w:rPr>
          <w:noProof/>
          <w:spacing w:val="-4"/>
          <w:lang w:val="it-IT"/>
        </w:rPr>
        <w:t>La ricerca condotta ha evidenziato una sostanziale difformità nell’enfasi posta sull’aspetto qualitativo e quantitativo degli indicatori utilizzati nel periodo oggetto di analisi 2004-2011 suddiviso nei due sotto periodi 2004 – 2007 rispetto al 2008 - 2011. La situazione di crisi finanziaria e la conseguente particolare attenzione suggerita dal documento congiunto Banca d’Italia/Consob/Isvap (2009) pare abbia determinato cambiamenti significativi nella modalità di riportare le informazioni nella relazione del revisore. Tale risultato può essere interpretato come indicazione che un provvedimento di “allerta” da parte di autorità di controllo determina cambiamenti nelle modalità espositive della relazione tradizionalmente legate alla normativa di riferimento, ai principi di revisione, e alla prassi delle stesse società di revisione. In qualche modo i comportamenti del revisore non sono esenti dall’influenza di fattori ambientali e dal grado di attenzione mostrato dalle autorità di vigilanza. Altri risultati della ricerca sono legati all’emergere di alcuni indicatori prevalentemente utilizzati dal revisore per motivare i loro giudizi nel caso di problemi connessi alla continuità aziendale. In particolare gli indicatori più utilizzati sono: IF.6, presente nell’80% delle relazioni esaminate, legato nella maggior parte di casi al pesante risultato d’esercizio negativo; IF.5, utilizzato nel 64% delle relazioni esaminate, con l’indicazione della posizione finanziaria netta negativa; IF.8, riportato nel 69% delle relazioni del revisore, legato alla presenza di debiti scaduti rispetto a fornitori e/o istituti di credito e/o adempimenti fiscali.</w:t>
      </w:r>
    </w:p>
    <w:p w:rsidR="00024F4F" w:rsidRPr="007D2CA8" w:rsidRDefault="00024F4F" w:rsidP="005B7C49">
      <w:pPr>
        <w:pStyle w:val="ATesto"/>
        <w:widowControl/>
        <w:rPr>
          <w:noProof/>
          <w:spacing w:val="-4"/>
          <w:lang w:val="it-IT"/>
        </w:rPr>
      </w:pPr>
      <w:r w:rsidRPr="007D2CA8">
        <w:rPr>
          <w:noProof/>
          <w:spacing w:val="-4"/>
          <w:lang w:val="it-IT"/>
        </w:rPr>
        <w:lastRenderedPageBreak/>
        <w:t>I limiti nello svolgimento della ricerca sono legate principalmente alla discrezionalità soggettiva utilizzata nella classificazione delle informazioni contenute nella relazione del revisore. Ricerche future potrebbero riguardare il confronto tra le informazioni contenute in bilancio rispetto a quelle riportate nella relazione del revisore. Tali informazioni potrebbero essere oggetto di osservazione per comparare opinioni espresse dagli amministratori rispetto a quelle del revisore contenute nella relazione di revisione. In tale modo, si potrebbero metter in evidenza le informazioni chiave sulle quale può esistere convergenza o diversità di interpretazione delle circostanze che fanno sussistere o meno il principio della continuità aziendale.</w:t>
      </w:r>
    </w:p>
    <w:p w:rsidR="0071527E" w:rsidRPr="007D2CA8" w:rsidRDefault="0071527E" w:rsidP="005B7C49">
      <w:pPr>
        <w:pStyle w:val="ATesto"/>
        <w:widowControl/>
        <w:rPr>
          <w:noProof/>
          <w:spacing w:val="-4"/>
          <w:lang w:val="it-IT"/>
        </w:rPr>
      </w:pPr>
    </w:p>
    <w:p w:rsidR="0071527E" w:rsidRPr="007D2CA8" w:rsidRDefault="0071527E" w:rsidP="0068097E">
      <w:pPr>
        <w:pStyle w:val="AAutorefinearticolo"/>
        <w:tabs>
          <w:tab w:val="clear" w:pos="6663"/>
          <w:tab w:val="center" w:pos="6237"/>
        </w:tabs>
        <w:rPr>
          <w:spacing w:val="-4"/>
        </w:rPr>
      </w:pPr>
      <w:r w:rsidRPr="007D2CA8">
        <w:rPr>
          <w:spacing w:val="-4"/>
        </w:rPr>
        <w:tab/>
        <w:t>Giuseppe Ianniello</w:t>
      </w:r>
    </w:p>
    <w:p w:rsidR="0068097E" w:rsidRPr="007D2CA8" w:rsidRDefault="0068097E" w:rsidP="0068097E">
      <w:pPr>
        <w:pStyle w:val="Atestfinartcvo"/>
        <w:tabs>
          <w:tab w:val="clear" w:pos="6663"/>
          <w:tab w:val="center" w:pos="6237"/>
        </w:tabs>
        <w:rPr>
          <w:i w:val="0"/>
          <w:iCs w:val="0"/>
          <w:noProof/>
          <w:spacing w:val="-4"/>
        </w:rPr>
      </w:pPr>
      <w:r w:rsidRPr="007D2CA8">
        <w:rPr>
          <w:i w:val="0"/>
          <w:iCs w:val="0"/>
          <w:noProof/>
          <w:spacing w:val="-4"/>
        </w:rPr>
        <w:tab/>
      </w:r>
      <w:r w:rsidRPr="007D2CA8">
        <w:rPr>
          <w:noProof/>
          <w:spacing w:val="-4"/>
        </w:rPr>
        <w:t>Professore Ordinario di Economia Aziendale</w:t>
      </w:r>
    </w:p>
    <w:p w:rsidR="0068097E" w:rsidRPr="007D2CA8" w:rsidRDefault="0068097E" w:rsidP="0068097E">
      <w:pPr>
        <w:pStyle w:val="AIndicazfineartic"/>
        <w:rPr>
          <w:noProof/>
          <w:spacing w:val="-4"/>
        </w:rPr>
      </w:pPr>
      <w:r w:rsidRPr="007D2CA8">
        <w:rPr>
          <w:noProof/>
          <w:spacing w:val="-4"/>
        </w:rPr>
        <w:t>Università della Tuscia – Viterbo</w:t>
      </w:r>
    </w:p>
    <w:p w:rsidR="0068097E" w:rsidRPr="007D2CA8" w:rsidRDefault="0068097E" w:rsidP="0068097E">
      <w:pPr>
        <w:pStyle w:val="AIndicazfineartic"/>
        <w:rPr>
          <w:noProof/>
          <w:spacing w:val="-4"/>
        </w:rPr>
      </w:pPr>
      <w:r w:rsidRPr="007D2CA8">
        <w:rPr>
          <w:noProof/>
          <w:spacing w:val="-4"/>
        </w:rPr>
        <w:t>Dipartimento di Economia e Impresa</w:t>
      </w:r>
    </w:p>
    <w:p w:rsidR="00DB6EEC" w:rsidRPr="007D2CA8" w:rsidRDefault="00DB6EEC" w:rsidP="005B7C49">
      <w:pPr>
        <w:pStyle w:val="AAutorefinearticolo"/>
        <w:rPr>
          <w:spacing w:val="-4"/>
          <w:lang/>
        </w:rPr>
      </w:pPr>
    </w:p>
    <w:p w:rsidR="00DB6EEC" w:rsidRPr="007D2CA8" w:rsidRDefault="00DB6EEC" w:rsidP="005B7C49">
      <w:pPr>
        <w:pStyle w:val="AAutorefinearticolo"/>
        <w:rPr>
          <w:spacing w:val="-4"/>
          <w:lang/>
        </w:rPr>
      </w:pPr>
      <w:r w:rsidRPr="007D2CA8">
        <w:rPr>
          <w:spacing w:val="-4"/>
          <w:lang/>
        </w:rPr>
        <w:tab/>
      </w:r>
    </w:p>
    <w:p w:rsidR="00DB6EEC" w:rsidRPr="007D2CA8" w:rsidRDefault="00DB6EEC" w:rsidP="0068097E">
      <w:pPr>
        <w:pStyle w:val="AAutorefinearticolo"/>
        <w:tabs>
          <w:tab w:val="clear" w:pos="6663"/>
          <w:tab w:val="center" w:pos="6237"/>
        </w:tabs>
        <w:rPr>
          <w:spacing w:val="-4"/>
          <w:lang/>
        </w:rPr>
      </w:pPr>
      <w:r w:rsidRPr="007D2CA8">
        <w:rPr>
          <w:spacing w:val="-4"/>
          <w:lang/>
        </w:rPr>
        <w:tab/>
        <w:t>Marco Mainardi</w:t>
      </w:r>
    </w:p>
    <w:p w:rsidR="0068097E" w:rsidRPr="007D2CA8" w:rsidRDefault="0068097E" w:rsidP="0068097E">
      <w:pPr>
        <w:pStyle w:val="Atestfinartcvo"/>
        <w:tabs>
          <w:tab w:val="clear" w:pos="6663"/>
          <w:tab w:val="center" w:pos="5954"/>
        </w:tabs>
        <w:jc w:val="right"/>
        <w:rPr>
          <w:noProof/>
          <w:spacing w:val="-4"/>
        </w:rPr>
      </w:pPr>
      <w:r w:rsidRPr="007D2CA8">
        <w:rPr>
          <w:noProof/>
          <w:spacing w:val="-4"/>
        </w:rPr>
        <w:tab/>
        <w:t>Professore Associato di Economia Aziendale</w:t>
      </w:r>
    </w:p>
    <w:p w:rsidR="0068097E" w:rsidRPr="007D2CA8" w:rsidRDefault="0068097E" w:rsidP="0068097E">
      <w:pPr>
        <w:pStyle w:val="Atestfinartcvo"/>
        <w:tabs>
          <w:tab w:val="clear" w:pos="6663"/>
          <w:tab w:val="center" w:pos="5670"/>
        </w:tabs>
        <w:jc w:val="right"/>
        <w:rPr>
          <w:noProof/>
          <w:spacing w:val="-4"/>
        </w:rPr>
      </w:pPr>
    </w:p>
    <w:p w:rsidR="0068097E" w:rsidRPr="007D2CA8" w:rsidRDefault="0068097E" w:rsidP="0068097E">
      <w:pPr>
        <w:pStyle w:val="AIndicazfineartic"/>
        <w:rPr>
          <w:noProof/>
          <w:spacing w:val="-4"/>
        </w:rPr>
      </w:pPr>
      <w:r w:rsidRPr="007D2CA8">
        <w:rPr>
          <w:noProof/>
          <w:spacing w:val="-4"/>
        </w:rPr>
        <w:t>Università di Firenze</w:t>
      </w:r>
    </w:p>
    <w:p w:rsidR="0068097E" w:rsidRPr="007D2CA8" w:rsidRDefault="0068097E" w:rsidP="0068097E">
      <w:pPr>
        <w:pStyle w:val="AIndicazfineartic"/>
        <w:rPr>
          <w:rFonts w:ascii="Times New Roman" w:hAnsi="Times New Roman"/>
          <w:spacing w:val="-4"/>
          <w:sz w:val="28"/>
          <w:szCs w:val="24"/>
        </w:rPr>
      </w:pPr>
      <w:r w:rsidRPr="007D2CA8">
        <w:rPr>
          <w:noProof/>
          <w:spacing w:val="-4"/>
        </w:rPr>
        <w:t>Dipartimento di Scienze Aziendali</w:t>
      </w:r>
    </w:p>
    <w:p w:rsidR="00DB6EEC" w:rsidRPr="007D2CA8" w:rsidRDefault="00DB6EEC" w:rsidP="005B7C49">
      <w:pPr>
        <w:pStyle w:val="AAutorefinearticolo"/>
        <w:rPr>
          <w:spacing w:val="-4"/>
          <w:lang/>
        </w:rPr>
      </w:pPr>
    </w:p>
    <w:p w:rsidR="00DB6EEC" w:rsidRPr="007D2CA8" w:rsidRDefault="00DB6EEC" w:rsidP="005B7C49">
      <w:pPr>
        <w:pStyle w:val="AAutorefinearticolo"/>
        <w:rPr>
          <w:spacing w:val="-4"/>
          <w:lang/>
        </w:rPr>
      </w:pPr>
    </w:p>
    <w:p w:rsidR="00DB6EEC" w:rsidRPr="007D2CA8" w:rsidRDefault="00DB6EEC" w:rsidP="0068097E">
      <w:pPr>
        <w:pStyle w:val="AAutorefinearticolo"/>
        <w:tabs>
          <w:tab w:val="clear" w:pos="6663"/>
          <w:tab w:val="center" w:pos="6237"/>
        </w:tabs>
        <w:rPr>
          <w:spacing w:val="-4"/>
        </w:rPr>
      </w:pPr>
      <w:r w:rsidRPr="007D2CA8">
        <w:rPr>
          <w:spacing w:val="-4"/>
          <w:lang/>
        </w:rPr>
        <w:tab/>
        <w:t>Fabrizio Rossi</w:t>
      </w:r>
    </w:p>
    <w:p w:rsidR="0068097E" w:rsidRPr="007D2CA8" w:rsidRDefault="0068097E" w:rsidP="0068097E">
      <w:pPr>
        <w:pStyle w:val="Atestfinartcvo"/>
        <w:tabs>
          <w:tab w:val="clear" w:pos="6663"/>
          <w:tab w:val="center" w:pos="6237"/>
        </w:tabs>
        <w:jc w:val="right"/>
        <w:rPr>
          <w:noProof/>
          <w:spacing w:val="-4"/>
        </w:rPr>
      </w:pPr>
      <w:r w:rsidRPr="007D2CA8">
        <w:rPr>
          <w:noProof/>
          <w:spacing w:val="-4"/>
        </w:rPr>
        <w:tab/>
        <w:t>Ricercatore Confermato di Economia Aziendale</w:t>
      </w:r>
    </w:p>
    <w:p w:rsidR="0068097E" w:rsidRPr="007D2CA8" w:rsidRDefault="0068097E" w:rsidP="0068097E">
      <w:pPr>
        <w:pStyle w:val="AIndicazfineartic"/>
        <w:rPr>
          <w:noProof/>
          <w:spacing w:val="-4"/>
        </w:rPr>
      </w:pPr>
      <w:r w:rsidRPr="007D2CA8">
        <w:rPr>
          <w:noProof/>
          <w:spacing w:val="-4"/>
        </w:rPr>
        <w:t>Università della Tuscia – Viterbo</w:t>
      </w:r>
    </w:p>
    <w:p w:rsidR="0068097E" w:rsidRPr="007D2CA8" w:rsidRDefault="0068097E" w:rsidP="0068097E">
      <w:pPr>
        <w:pStyle w:val="AIndicazfineartic"/>
        <w:rPr>
          <w:noProof/>
          <w:spacing w:val="-4"/>
        </w:rPr>
      </w:pPr>
      <w:r w:rsidRPr="007D2CA8">
        <w:rPr>
          <w:noProof/>
          <w:spacing w:val="-4"/>
        </w:rPr>
        <w:t>Dipartimento di Economia e Impresa</w:t>
      </w:r>
    </w:p>
    <w:p w:rsidR="00DB6EEC" w:rsidRPr="007D2CA8" w:rsidRDefault="00DB6EEC" w:rsidP="005B7C49">
      <w:pPr>
        <w:pStyle w:val="AAutorefinearticolo"/>
        <w:rPr>
          <w:noProof/>
          <w:spacing w:val="-4"/>
        </w:rPr>
      </w:pPr>
    </w:p>
    <w:p w:rsidR="00024F4F" w:rsidRPr="000A2318" w:rsidRDefault="00024F4F" w:rsidP="005B7C49">
      <w:pPr>
        <w:pStyle w:val="ABibliografiaTitolo"/>
        <w:widowControl/>
        <w:rPr>
          <w:noProof/>
          <w:spacing w:val="-4"/>
          <w:lang w:val="en-US"/>
        </w:rPr>
      </w:pPr>
      <w:r w:rsidRPr="000A2318">
        <w:rPr>
          <w:noProof/>
          <w:spacing w:val="-4"/>
          <w:lang w:val="en-US"/>
        </w:rPr>
        <w:t>Bibliografia</w:t>
      </w:r>
    </w:p>
    <w:p w:rsidR="00024F4F" w:rsidRPr="000A2318" w:rsidRDefault="00024F4F" w:rsidP="005B7C49">
      <w:pPr>
        <w:pStyle w:val="ABibliografia"/>
        <w:widowControl/>
        <w:rPr>
          <w:i/>
          <w:iCs/>
          <w:noProof/>
          <w:spacing w:val="-4"/>
          <w:lang w:val="en-US"/>
        </w:rPr>
      </w:pPr>
      <w:r w:rsidRPr="000A2318">
        <w:rPr>
          <w:rStyle w:val="ABibliografiaNomiAutori0"/>
          <w:noProof/>
          <w:spacing w:val="-4"/>
          <w:lang w:val="en-US"/>
        </w:rPr>
        <w:t>Altman, E. e McGough, T. (1974),</w:t>
      </w:r>
      <w:r w:rsidRPr="000A2318">
        <w:rPr>
          <w:spacing w:val="-4"/>
          <w:sz w:val="24"/>
          <w:lang w:val="en-US"/>
        </w:rPr>
        <w:t xml:space="preserve"> </w:t>
      </w:r>
      <w:r w:rsidRPr="000A2318">
        <w:rPr>
          <w:noProof/>
          <w:spacing w:val="-4"/>
          <w:lang w:val="en-US"/>
        </w:rPr>
        <w:t>Evaluation of a company as a going concern, in</w:t>
      </w:r>
      <w:r w:rsidRPr="000A2318">
        <w:rPr>
          <w:spacing w:val="-4"/>
          <w:sz w:val="24"/>
          <w:lang w:val="en-US"/>
        </w:rPr>
        <w:t xml:space="preserve"> </w:t>
      </w:r>
      <w:r w:rsidRPr="000A2318">
        <w:rPr>
          <w:i/>
          <w:iCs/>
          <w:noProof/>
          <w:spacing w:val="-4"/>
          <w:lang w:val="en-US"/>
        </w:rPr>
        <w:t>Journal of Accountancy (December), 51-57.</w:t>
      </w:r>
    </w:p>
    <w:p w:rsidR="00024F4F" w:rsidRPr="000A2318" w:rsidRDefault="00024F4F" w:rsidP="005B7C49">
      <w:pPr>
        <w:pStyle w:val="ABibliografia"/>
        <w:widowControl/>
        <w:rPr>
          <w:noProof/>
          <w:spacing w:val="-4"/>
          <w:lang w:val="en-US"/>
        </w:rPr>
      </w:pPr>
      <w:r w:rsidRPr="007D2CA8">
        <w:rPr>
          <w:rStyle w:val="ABibliografiaNomiAutori0"/>
          <w:noProof/>
          <w:spacing w:val="-4"/>
          <w:lang w:val="it-IT"/>
        </w:rPr>
        <w:t>Amodeo D. (1966),</w:t>
      </w:r>
      <w:r w:rsidRPr="007D2CA8">
        <w:rPr>
          <w:spacing w:val="-4"/>
          <w:sz w:val="24"/>
          <w:lang w:val="it-IT"/>
        </w:rPr>
        <w:t xml:space="preserve"> </w:t>
      </w:r>
      <w:r w:rsidRPr="007D2CA8">
        <w:rPr>
          <w:noProof/>
          <w:spacing w:val="-4"/>
          <w:lang w:val="it-IT"/>
        </w:rPr>
        <w:t xml:space="preserve">La certificazione dei bilanci: i compiti e le funzioni del dottore commercialista nel campo dell’economia moderna, </w:t>
      </w:r>
      <w:r w:rsidRPr="007D2CA8">
        <w:rPr>
          <w:i/>
          <w:noProof/>
          <w:spacing w:val="-4"/>
          <w:lang w:val="it-IT"/>
        </w:rPr>
        <w:t xml:space="preserve">Ed. </w:t>
      </w:r>
      <w:r w:rsidRPr="000A2318">
        <w:rPr>
          <w:i/>
          <w:noProof/>
          <w:spacing w:val="-4"/>
          <w:lang w:val="en-US"/>
        </w:rPr>
        <w:t xml:space="preserve">Libraria, Trieste. </w:t>
      </w:r>
    </w:p>
    <w:p w:rsidR="00024F4F" w:rsidRPr="000A2318" w:rsidRDefault="00024F4F" w:rsidP="005B7C49">
      <w:pPr>
        <w:pStyle w:val="ABibliografia"/>
        <w:widowControl/>
        <w:rPr>
          <w:spacing w:val="-4"/>
          <w:sz w:val="24"/>
          <w:szCs w:val="18"/>
          <w:lang w:val="en-US"/>
        </w:rPr>
      </w:pPr>
      <w:r w:rsidRPr="000A2318">
        <w:rPr>
          <w:rStyle w:val="ABibliografiaNomiAutori0"/>
          <w:noProof/>
          <w:spacing w:val="-4"/>
          <w:lang w:val="en-US"/>
        </w:rPr>
        <w:t>Asare, S. K. e Wright, A. (2009),</w:t>
      </w:r>
      <w:r w:rsidRPr="000A2318">
        <w:rPr>
          <w:spacing w:val="-4"/>
          <w:sz w:val="24"/>
          <w:szCs w:val="18"/>
          <w:lang w:val="en-US"/>
        </w:rPr>
        <w:t xml:space="preserve"> </w:t>
      </w:r>
      <w:r w:rsidRPr="000A2318">
        <w:rPr>
          <w:noProof/>
          <w:spacing w:val="-4"/>
          <w:lang w:val="en-US"/>
        </w:rPr>
        <w:t xml:space="preserve">Investors’, auditor’s, and lender’s understanding of the message conveyed by the standard audit report, disponibile su </w:t>
      </w:r>
      <w:hyperlink r:id="rId7" w:history="1">
        <w:r w:rsidRPr="000A2318">
          <w:rPr>
            <w:noProof/>
            <w:spacing w:val="-4"/>
            <w:lang w:val="en-US"/>
          </w:rPr>
          <w:t>www.ssrn.com</w:t>
        </w:r>
      </w:hyperlink>
      <w:r w:rsidRPr="000A2318">
        <w:rPr>
          <w:noProof/>
          <w:spacing w:val="-4"/>
          <w:lang w:val="en-US"/>
        </w:rPr>
        <w:t xml:space="preserve"> consultato il 18 giugno 2014.</w:t>
      </w:r>
    </w:p>
    <w:p w:rsidR="00024F4F" w:rsidRPr="007D2CA8" w:rsidRDefault="00024F4F" w:rsidP="005B7C49">
      <w:pPr>
        <w:pStyle w:val="ABibliografia"/>
        <w:widowControl/>
        <w:rPr>
          <w:bCs/>
          <w:spacing w:val="-4"/>
          <w:lang w:val="it-IT"/>
        </w:rPr>
      </w:pPr>
      <w:r w:rsidRPr="007D2CA8">
        <w:rPr>
          <w:rStyle w:val="ABibliografiaNomiAutori0"/>
          <w:noProof/>
          <w:spacing w:val="-4"/>
          <w:lang w:val="it-IT"/>
        </w:rPr>
        <w:t>Banca d’Italia / Consob / Isvap (2009),</w:t>
      </w:r>
      <w:r w:rsidRPr="007D2CA8">
        <w:rPr>
          <w:spacing w:val="-4"/>
          <w:lang w:val="it-IT"/>
        </w:rPr>
        <w:t xml:space="preserve"> </w:t>
      </w:r>
      <w:r w:rsidRPr="007D2CA8">
        <w:rPr>
          <w:noProof/>
          <w:spacing w:val="-4"/>
          <w:lang w:val="it-IT"/>
        </w:rPr>
        <w:t xml:space="preserve">Informazioni da fornire nelle relazioni finanziarie sulla continuità aziendale, sui rischi finanziari, sulle verifiche per riduzione di valore delle attività e sulle incertezze nell’utilizzo di stime, </w:t>
      </w:r>
      <w:r w:rsidRPr="007D2CA8">
        <w:rPr>
          <w:i/>
          <w:noProof/>
          <w:spacing w:val="-4"/>
          <w:lang w:val="it-IT"/>
        </w:rPr>
        <w:t>Documento del Tavolo di coordinamento fra Banca d'Italia, Consob ed Isvap in materia di applicazione degli IAS/IFRS, N. 2 del 6 febbraio</w:t>
      </w:r>
      <w:r w:rsidRPr="007D2CA8">
        <w:rPr>
          <w:noProof/>
          <w:spacing w:val="-4"/>
          <w:lang w:val="it-IT"/>
        </w:rPr>
        <w:t>.</w:t>
      </w:r>
    </w:p>
    <w:p w:rsidR="00024F4F" w:rsidRPr="000A2318" w:rsidRDefault="00024F4F" w:rsidP="005B7C49">
      <w:pPr>
        <w:pStyle w:val="ABibliografia"/>
        <w:widowControl/>
        <w:rPr>
          <w:bCs/>
          <w:spacing w:val="-4"/>
          <w:lang w:val="en-US"/>
        </w:rPr>
      </w:pPr>
      <w:r w:rsidRPr="000A2318">
        <w:rPr>
          <w:rStyle w:val="ABibliografiaNomiAutori0"/>
          <w:noProof/>
          <w:spacing w:val="-4"/>
          <w:lang w:val="en-US"/>
        </w:rPr>
        <w:t>Beaver, W. H. (1996),</w:t>
      </w:r>
      <w:r w:rsidRPr="000A2318">
        <w:rPr>
          <w:bCs/>
          <w:spacing w:val="-4"/>
          <w:lang w:val="en-US"/>
        </w:rPr>
        <w:t xml:space="preserve"> </w:t>
      </w:r>
      <w:r w:rsidRPr="000A2318">
        <w:rPr>
          <w:noProof/>
          <w:spacing w:val="-4"/>
          <w:lang w:val="en-US"/>
        </w:rPr>
        <w:t xml:space="preserve">Financial ratios as predictors of failure, in </w:t>
      </w:r>
      <w:r w:rsidRPr="000A2318">
        <w:rPr>
          <w:i/>
          <w:noProof/>
          <w:spacing w:val="-4"/>
          <w:lang w:val="en-US"/>
        </w:rPr>
        <w:t>Journal of Accounting Research</w:t>
      </w:r>
      <w:r w:rsidRPr="000A2318">
        <w:rPr>
          <w:noProof/>
          <w:spacing w:val="-4"/>
          <w:lang w:val="en-US"/>
        </w:rPr>
        <w:t>, Vol. 7, n. 2, 179-192.</w:t>
      </w:r>
    </w:p>
    <w:p w:rsidR="00024F4F" w:rsidRPr="000A2318" w:rsidRDefault="00024F4F" w:rsidP="005B7C49">
      <w:pPr>
        <w:pStyle w:val="ABibliografia"/>
        <w:widowControl/>
        <w:rPr>
          <w:noProof/>
          <w:spacing w:val="-4"/>
          <w:lang w:val="en-US"/>
        </w:rPr>
      </w:pPr>
      <w:r w:rsidRPr="000A2318">
        <w:rPr>
          <w:rStyle w:val="ABibliografiaNomiAutori0"/>
          <w:noProof/>
          <w:spacing w:val="-4"/>
          <w:lang w:val="en-US"/>
        </w:rPr>
        <w:t>Bell, T.B. e Tabor, R.H. (1991),</w:t>
      </w:r>
      <w:r w:rsidRPr="000A2318">
        <w:rPr>
          <w:bCs/>
          <w:spacing w:val="-4"/>
          <w:lang w:val="en-US"/>
        </w:rPr>
        <w:t xml:space="preserve"> </w:t>
      </w:r>
      <w:r w:rsidRPr="000A2318">
        <w:rPr>
          <w:noProof/>
          <w:spacing w:val="-4"/>
          <w:lang w:val="en-US"/>
        </w:rPr>
        <w:t xml:space="preserve">Empirical analysis of audit uncertainty qualifications, in </w:t>
      </w:r>
      <w:r w:rsidRPr="000A2318">
        <w:rPr>
          <w:i/>
          <w:noProof/>
          <w:spacing w:val="-4"/>
          <w:lang w:val="en-US"/>
        </w:rPr>
        <w:t>Journal of Accounting Research</w:t>
      </w:r>
      <w:r w:rsidRPr="000A2318">
        <w:rPr>
          <w:noProof/>
          <w:spacing w:val="-4"/>
          <w:lang w:val="en-US"/>
        </w:rPr>
        <w:t>, Vol. 29, n. 2, 350-370.</w:t>
      </w:r>
    </w:p>
    <w:p w:rsidR="00024F4F" w:rsidRPr="000A2318" w:rsidRDefault="00024F4F" w:rsidP="005B7C49">
      <w:pPr>
        <w:pStyle w:val="ABibliografia"/>
        <w:widowControl/>
        <w:rPr>
          <w:noProof/>
          <w:spacing w:val="-4"/>
          <w:lang w:val="en-US"/>
        </w:rPr>
      </w:pPr>
      <w:r w:rsidRPr="000A2318">
        <w:rPr>
          <w:noProof/>
          <w:spacing w:val="-4"/>
          <w:lang w:val="en-US"/>
        </w:rPr>
        <w:t>B</w:t>
      </w:r>
      <w:r w:rsidRPr="000A2318">
        <w:rPr>
          <w:smallCaps/>
          <w:noProof/>
          <w:spacing w:val="-4"/>
          <w:lang w:val="en-US"/>
        </w:rPr>
        <w:t>oritz</w:t>
      </w:r>
      <w:r w:rsidRPr="000A2318">
        <w:rPr>
          <w:noProof/>
          <w:spacing w:val="-4"/>
          <w:lang w:val="en-US"/>
        </w:rPr>
        <w:t>, J.E., H</w:t>
      </w:r>
      <w:r w:rsidRPr="000A2318">
        <w:rPr>
          <w:smallCaps/>
          <w:noProof/>
          <w:spacing w:val="-4"/>
          <w:lang w:val="en-US"/>
        </w:rPr>
        <w:t>ayes</w:t>
      </w:r>
      <w:r w:rsidRPr="000A2318">
        <w:rPr>
          <w:noProof/>
          <w:spacing w:val="-4"/>
          <w:lang w:val="en-US"/>
        </w:rPr>
        <w:t xml:space="preserve">, L. </w:t>
      </w:r>
      <w:r w:rsidRPr="000A2318">
        <w:rPr>
          <w:smallCaps/>
          <w:noProof/>
          <w:spacing w:val="-4"/>
          <w:lang w:val="en-US"/>
        </w:rPr>
        <w:t>e</w:t>
      </w:r>
      <w:r w:rsidRPr="000A2318">
        <w:rPr>
          <w:noProof/>
          <w:spacing w:val="-4"/>
          <w:lang w:val="en-US"/>
        </w:rPr>
        <w:t xml:space="preserve"> L</w:t>
      </w:r>
      <w:r w:rsidRPr="000A2318">
        <w:rPr>
          <w:smallCaps/>
          <w:noProof/>
          <w:spacing w:val="-4"/>
          <w:lang w:val="en-US"/>
        </w:rPr>
        <w:t>im</w:t>
      </w:r>
      <w:r w:rsidRPr="000A2318">
        <w:rPr>
          <w:noProof/>
          <w:spacing w:val="-4"/>
          <w:lang w:val="en-US"/>
        </w:rPr>
        <w:t xml:space="preserve">, J.H. (2013), A content analysis of auditors’ reports on IT internal control weaknesses: The comparative advantages of an automated approach to control weakness identification, in </w:t>
      </w:r>
      <w:r w:rsidRPr="000A2318">
        <w:rPr>
          <w:i/>
          <w:noProof/>
          <w:spacing w:val="-4"/>
          <w:lang w:val="en-US"/>
        </w:rPr>
        <w:t>International Journal of Accounting Information Systems</w:t>
      </w:r>
      <w:r w:rsidRPr="000A2318">
        <w:rPr>
          <w:noProof/>
          <w:spacing w:val="-4"/>
          <w:lang w:val="en-US"/>
        </w:rPr>
        <w:t>, Vol. 14, 138-163.</w:t>
      </w:r>
    </w:p>
    <w:p w:rsidR="00024F4F" w:rsidRPr="007D2CA8" w:rsidRDefault="00024F4F" w:rsidP="005B7C49">
      <w:pPr>
        <w:pStyle w:val="ABibliografia"/>
        <w:widowControl/>
        <w:rPr>
          <w:bCs/>
          <w:spacing w:val="-4"/>
          <w:lang w:val="it-IT"/>
        </w:rPr>
      </w:pPr>
      <w:r w:rsidRPr="007D2CA8">
        <w:rPr>
          <w:rStyle w:val="ABibliografiaNomiAutori0"/>
          <w:noProof/>
          <w:spacing w:val="-4"/>
          <w:lang w:val="it-IT"/>
        </w:rPr>
        <w:t>Cadeddu, L. e Portalupi, A. (2009),</w:t>
      </w:r>
      <w:r w:rsidRPr="007D2CA8">
        <w:rPr>
          <w:bCs/>
          <w:spacing w:val="-4"/>
          <w:lang w:val="it-IT"/>
        </w:rPr>
        <w:t xml:space="preserve"> </w:t>
      </w:r>
      <w:r w:rsidRPr="007D2CA8">
        <w:rPr>
          <w:noProof/>
          <w:spacing w:val="-4"/>
          <w:lang w:val="it-IT"/>
        </w:rPr>
        <w:t xml:space="preserve">Il processo di revisione contabile, </w:t>
      </w:r>
      <w:r w:rsidRPr="007D2CA8">
        <w:rPr>
          <w:i/>
          <w:noProof/>
          <w:spacing w:val="-4"/>
          <w:lang w:val="it-IT"/>
        </w:rPr>
        <w:t>Il sole 24 ore. Milano</w:t>
      </w:r>
      <w:r w:rsidRPr="007D2CA8">
        <w:rPr>
          <w:noProof/>
          <w:spacing w:val="-4"/>
          <w:lang w:val="it-IT"/>
        </w:rPr>
        <w:t>.</w:t>
      </w:r>
    </w:p>
    <w:p w:rsidR="00024F4F" w:rsidRPr="007D2CA8" w:rsidRDefault="00024F4F" w:rsidP="005B7C49">
      <w:pPr>
        <w:pStyle w:val="ABibliografia"/>
        <w:widowControl/>
        <w:rPr>
          <w:noProof/>
          <w:spacing w:val="-4"/>
          <w:lang w:val="it-IT"/>
        </w:rPr>
      </w:pPr>
      <w:r w:rsidRPr="007D2CA8">
        <w:rPr>
          <w:rStyle w:val="ABibliografiaNomiAutori0"/>
          <w:noProof/>
          <w:spacing w:val="-4"/>
          <w:lang w:val="it-IT"/>
        </w:rPr>
        <w:t>Catturi, G. (2009),</w:t>
      </w:r>
      <w:r w:rsidRPr="007D2CA8">
        <w:rPr>
          <w:bCs/>
          <w:spacing w:val="-4"/>
          <w:lang w:val="it-IT"/>
        </w:rPr>
        <w:t xml:space="preserve"> </w:t>
      </w:r>
      <w:r w:rsidRPr="007D2CA8">
        <w:rPr>
          <w:noProof/>
          <w:spacing w:val="-4"/>
          <w:lang w:val="it-IT"/>
        </w:rPr>
        <w:t xml:space="preserve">La Redazione del bilancio di esercizio, VI edizione (a cura di Ianniello, G.), </w:t>
      </w:r>
      <w:r w:rsidRPr="007D2CA8">
        <w:rPr>
          <w:i/>
          <w:noProof/>
          <w:spacing w:val="-4"/>
          <w:lang w:val="it-IT"/>
        </w:rPr>
        <w:t>Cedam, Padova</w:t>
      </w:r>
      <w:r w:rsidRPr="007D2CA8">
        <w:rPr>
          <w:noProof/>
          <w:spacing w:val="-4"/>
          <w:lang w:val="it-IT"/>
        </w:rPr>
        <w:t>.</w:t>
      </w:r>
    </w:p>
    <w:p w:rsidR="00024F4F" w:rsidRPr="007D2CA8" w:rsidRDefault="00024F4F" w:rsidP="005B7C49">
      <w:pPr>
        <w:pStyle w:val="ABibliografia"/>
        <w:widowControl/>
        <w:rPr>
          <w:noProof/>
          <w:spacing w:val="-4"/>
          <w:lang w:val="it-IT"/>
        </w:rPr>
      </w:pPr>
      <w:r w:rsidRPr="007D2CA8">
        <w:rPr>
          <w:rStyle w:val="ABibliografiaNomiAutori0"/>
          <w:noProof/>
          <w:spacing w:val="-4"/>
          <w:lang w:val="it-IT"/>
        </w:rPr>
        <w:t>Cavalieri, E. (1999),</w:t>
      </w:r>
      <w:r w:rsidRPr="007D2CA8">
        <w:rPr>
          <w:spacing w:val="-4"/>
          <w:lang w:val="it-IT"/>
        </w:rPr>
        <w:t xml:space="preserve"> </w:t>
      </w:r>
      <w:r w:rsidRPr="007D2CA8">
        <w:rPr>
          <w:noProof/>
          <w:spacing w:val="-4"/>
          <w:lang w:val="it-IT"/>
        </w:rPr>
        <w:t xml:space="preserve">Considerazioni sul ruolo della revisione «esterna» nel sistema dei controlli aziendali, </w:t>
      </w:r>
      <w:r w:rsidRPr="007D2CA8">
        <w:rPr>
          <w:i/>
          <w:noProof/>
          <w:spacing w:val="-4"/>
          <w:lang w:val="it-IT"/>
        </w:rPr>
        <w:t xml:space="preserve">in Rivista Italiana di Ragioneria ed Economia Aziendale, </w:t>
      </w:r>
      <w:r w:rsidRPr="007D2CA8">
        <w:rPr>
          <w:noProof/>
          <w:spacing w:val="-4"/>
          <w:lang w:val="it-IT"/>
        </w:rPr>
        <w:t>n. 9 e 10.</w:t>
      </w:r>
    </w:p>
    <w:p w:rsidR="00024F4F" w:rsidRPr="007D2CA8" w:rsidRDefault="00024F4F" w:rsidP="005B7C49">
      <w:pPr>
        <w:pStyle w:val="ABibliografia"/>
        <w:widowControl/>
        <w:rPr>
          <w:spacing w:val="-4"/>
          <w:sz w:val="24"/>
          <w:lang w:val="it-IT"/>
        </w:rPr>
      </w:pPr>
      <w:r w:rsidRPr="007D2CA8">
        <w:rPr>
          <w:rStyle w:val="ABibliografiaNomiAutori0"/>
          <w:noProof/>
          <w:spacing w:val="-4"/>
          <w:lang w:val="it-IT"/>
        </w:rPr>
        <w:t>Consob</w:t>
      </w:r>
      <w:r w:rsidRPr="007D2CA8">
        <w:rPr>
          <w:rStyle w:val="ABibliografiaNomiAutori0"/>
          <w:smallCaps w:val="0"/>
          <w:noProof/>
          <w:spacing w:val="-4"/>
          <w:lang w:val="it-IT"/>
        </w:rPr>
        <w:t xml:space="preserve"> (1999),</w:t>
      </w:r>
      <w:r w:rsidRPr="007D2CA8">
        <w:rPr>
          <w:spacing w:val="-4"/>
          <w:sz w:val="24"/>
          <w:lang w:val="it-IT"/>
        </w:rPr>
        <w:t xml:space="preserve"> </w:t>
      </w:r>
      <w:r w:rsidRPr="007D2CA8">
        <w:rPr>
          <w:noProof/>
          <w:spacing w:val="-4"/>
          <w:lang w:val="it-IT"/>
        </w:rPr>
        <w:t>Comunicazione n. DAC/99088450 del 1° dicembre 1999.</w:t>
      </w:r>
    </w:p>
    <w:p w:rsidR="00024F4F" w:rsidRPr="000A2318" w:rsidRDefault="00024F4F" w:rsidP="005B7C49">
      <w:pPr>
        <w:pStyle w:val="ABibliografia"/>
        <w:widowControl/>
        <w:rPr>
          <w:noProof/>
          <w:spacing w:val="-4"/>
          <w:lang w:val="en-US"/>
        </w:rPr>
      </w:pPr>
      <w:r w:rsidRPr="000A2318">
        <w:rPr>
          <w:rStyle w:val="ABibliografiaNomiAutori0"/>
          <w:noProof/>
          <w:spacing w:val="-4"/>
          <w:lang w:val="en-US"/>
        </w:rPr>
        <w:t>De Angelo, L.E. (1981),</w:t>
      </w:r>
      <w:r w:rsidRPr="000A2318">
        <w:rPr>
          <w:spacing w:val="-4"/>
          <w:lang w:val="en-US"/>
        </w:rPr>
        <w:t xml:space="preserve"> </w:t>
      </w:r>
      <w:r w:rsidRPr="000A2318">
        <w:rPr>
          <w:noProof/>
          <w:spacing w:val="-4"/>
          <w:lang w:val="en-US"/>
        </w:rPr>
        <w:t xml:space="preserve">Auditor size and audit quality, in </w:t>
      </w:r>
      <w:r w:rsidRPr="000A2318">
        <w:rPr>
          <w:i/>
          <w:noProof/>
          <w:spacing w:val="-4"/>
          <w:lang w:val="en-US"/>
        </w:rPr>
        <w:t>Journal of Accounting and Economics</w:t>
      </w:r>
      <w:r w:rsidRPr="000A2318">
        <w:rPr>
          <w:noProof/>
          <w:spacing w:val="-4"/>
          <w:lang w:val="en-US"/>
        </w:rPr>
        <w:t>, Vol. 3, n. 3, 183-199.</w:t>
      </w:r>
    </w:p>
    <w:p w:rsidR="00024F4F" w:rsidRPr="007D2CA8" w:rsidRDefault="00024F4F" w:rsidP="005B7C49">
      <w:pPr>
        <w:pStyle w:val="ABibliografia"/>
        <w:widowControl/>
        <w:rPr>
          <w:noProof/>
          <w:spacing w:val="-4"/>
          <w:lang w:val="it-IT"/>
        </w:rPr>
      </w:pPr>
      <w:r w:rsidRPr="007D2CA8">
        <w:rPr>
          <w:rStyle w:val="ABibliografiaNomiAutori0"/>
          <w:noProof/>
          <w:spacing w:val="-4"/>
          <w:lang w:val="it-IT"/>
        </w:rPr>
        <w:t>Di Pietra R. (a cura di) (2013),</w:t>
      </w:r>
      <w:r w:rsidRPr="007D2CA8">
        <w:rPr>
          <w:spacing w:val="-4"/>
          <w:lang w:val="it-IT"/>
        </w:rPr>
        <w:t xml:space="preserve"> </w:t>
      </w:r>
      <w:r w:rsidRPr="007D2CA8">
        <w:rPr>
          <w:noProof/>
          <w:spacing w:val="-4"/>
          <w:lang w:val="it-IT"/>
        </w:rPr>
        <w:t xml:space="preserve">La revisione legale in Italia, </w:t>
      </w:r>
      <w:r w:rsidRPr="007D2CA8">
        <w:rPr>
          <w:i/>
          <w:noProof/>
          <w:spacing w:val="-4"/>
          <w:lang w:val="it-IT"/>
        </w:rPr>
        <w:t>Cedam, Padova</w:t>
      </w:r>
      <w:r w:rsidRPr="007D2CA8">
        <w:rPr>
          <w:noProof/>
          <w:spacing w:val="-4"/>
          <w:lang w:val="it-IT"/>
        </w:rPr>
        <w:t>.</w:t>
      </w:r>
    </w:p>
    <w:p w:rsidR="00024F4F" w:rsidRPr="007D2CA8" w:rsidRDefault="00024F4F" w:rsidP="005B7C49">
      <w:pPr>
        <w:pStyle w:val="ABibliografia"/>
        <w:widowControl/>
        <w:rPr>
          <w:noProof/>
          <w:spacing w:val="-4"/>
          <w:lang w:val="it-IT"/>
        </w:rPr>
      </w:pPr>
      <w:r w:rsidRPr="007D2CA8">
        <w:rPr>
          <w:rStyle w:val="ABibliografiaNomiAutori0"/>
          <w:noProof/>
          <w:spacing w:val="-4"/>
          <w:lang w:val="it-IT"/>
        </w:rPr>
        <w:lastRenderedPageBreak/>
        <w:t>Ferrero, G. (1991),</w:t>
      </w:r>
      <w:r w:rsidRPr="007D2CA8">
        <w:rPr>
          <w:spacing w:val="-4"/>
          <w:lang w:val="it-IT"/>
        </w:rPr>
        <w:t xml:space="preserve"> </w:t>
      </w:r>
      <w:r w:rsidRPr="007D2CA8">
        <w:rPr>
          <w:noProof/>
          <w:spacing w:val="-4"/>
          <w:lang w:val="it-IT"/>
        </w:rPr>
        <w:t xml:space="preserve">I complementari principi della “chiarezza”, della “verità” e della “correttezza” nella redazione del bilancio d’esercizio, </w:t>
      </w:r>
      <w:r w:rsidRPr="007D2CA8">
        <w:rPr>
          <w:i/>
          <w:noProof/>
          <w:spacing w:val="-4"/>
          <w:lang w:val="it-IT"/>
        </w:rPr>
        <w:t>Giuffré, Milano</w:t>
      </w:r>
      <w:r w:rsidRPr="007D2CA8">
        <w:rPr>
          <w:noProof/>
          <w:spacing w:val="-4"/>
          <w:lang w:val="it-IT"/>
        </w:rPr>
        <w:t>.</w:t>
      </w:r>
    </w:p>
    <w:p w:rsidR="00024F4F" w:rsidRPr="000A2318" w:rsidRDefault="00024F4F" w:rsidP="005B7C49">
      <w:pPr>
        <w:pStyle w:val="ABibliografia"/>
        <w:widowControl/>
        <w:rPr>
          <w:noProof/>
          <w:spacing w:val="-4"/>
          <w:lang w:val="en-US"/>
        </w:rPr>
      </w:pPr>
      <w:r w:rsidRPr="000A2318">
        <w:rPr>
          <w:rStyle w:val="ABibliografiaNomiAutori0"/>
          <w:noProof/>
          <w:spacing w:val="-4"/>
          <w:lang w:val="en-US"/>
        </w:rPr>
        <w:t>Flint, D. (1984</w:t>
      </w:r>
      <w:r w:rsidRPr="000A2318">
        <w:rPr>
          <w:rStyle w:val="ABibliografiaNomiAutori0"/>
          <w:smallCaps w:val="0"/>
          <w:noProof/>
          <w:spacing w:val="-4"/>
          <w:lang w:val="en-US"/>
        </w:rPr>
        <w:t>),</w:t>
      </w:r>
      <w:r w:rsidRPr="000A2318">
        <w:rPr>
          <w:noProof/>
          <w:spacing w:val="-4"/>
          <w:lang w:val="en-US"/>
        </w:rPr>
        <w:t xml:space="preserve"> Social and ethical issues in auditing, in A.G. Hopwood, M. Bromwich, J. Shaw (edited by), </w:t>
      </w:r>
      <w:r w:rsidRPr="000A2318">
        <w:rPr>
          <w:i/>
          <w:noProof/>
          <w:spacing w:val="-4"/>
          <w:lang w:val="en-US"/>
        </w:rPr>
        <w:t>Auditing research: issues and opportunities</w:t>
      </w:r>
      <w:r w:rsidRPr="000A2318">
        <w:rPr>
          <w:noProof/>
          <w:spacing w:val="-4"/>
          <w:lang w:val="en-US"/>
        </w:rPr>
        <w:t>, Pitman Publishing, London.</w:t>
      </w:r>
    </w:p>
    <w:p w:rsidR="00024F4F" w:rsidRPr="000A2318" w:rsidRDefault="00024F4F" w:rsidP="005B7C49">
      <w:pPr>
        <w:pStyle w:val="ABibliografia"/>
        <w:widowControl/>
        <w:rPr>
          <w:bCs/>
          <w:iCs/>
          <w:spacing w:val="-4"/>
          <w:lang w:val="en-US"/>
        </w:rPr>
      </w:pPr>
      <w:r w:rsidRPr="000A2318">
        <w:rPr>
          <w:rStyle w:val="ABibliografiaNomiAutori0"/>
          <w:noProof/>
          <w:spacing w:val="-4"/>
          <w:lang w:val="en-US"/>
        </w:rPr>
        <w:t>Geiger, M.A., Raghunandan, K. e Rama, D.V. (1995),</w:t>
      </w:r>
      <w:r w:rsidRPr="000A2318">
        <w:rPr>
          <w:bCs/>
          <w:iCs/>
          <w:caps/>
          <w:spacing w:val="-4"/>
          <w:lang w:val="en-US"/>
        </w:rPr>
        <w:t xml:space="preserve"> </w:t>
      </w:r>
      <w:r w:rsidRPr="000A2318">
        <w:rPr>
          <w:noProof/>
          <w:spacing w:val="-4"/>
          <w:lang w:val="en-US"/>
        </w:rPr>
        <w:t xml:space="preserve">Reporting on going concern before and after SAS No. 59, </w:t>
      </w:r>
      <w:r w:rsidRPr="000A2318">
        <w:rPr>
          <w:i/>
          <w:noProof/>
          <w:spacing w:val="-4"/>
          <w:lang w:val="en-US"/>
        </w:rPr>
        <w:t>The CPA Journal</w:t>
      </w:r>
      <w:r w:rsidRPr="000A2318">
        <w:rPr>
          <w:noProof/>
          <w:spacing w:val="-4"/>
          <w:lang w:val="en-US"/>
        </w:rPr>
        <w:t>, August.</w:t>
      </w:r>
    </w:p>
    <w:p w:rsidR="00024F4F" w:rsidRPr="000A2318" w:rsidRDefault="00024F4F" w:rsidP="005B7C49">
      <w:pPr>
        <w:pStyle w:val="ABibliografia"/>
        <w:widowControl/>
        <w:rPr>
          <w:i/>
          <w:noProof/>
          <w:spacing w:val="-4"/>
          <w:lang w:val="en-US"/>
        </w:rPr>
      </w:pPr>
      <w:r w:rsidRPr="000A2318">
        <w:rPr>
          <w:rStyle w:val="ABibliografiaNomiAutori0"/>
          <w:noProof/>
          <w:spacing w:val="-4"/>
          <w:lang w:val="en-US"/>
        </w:rPr>
        <w:t>Gold, A., Gronewold, U. e Pott C. (2009),</w:t>
      </w:r>
      <w:r w:rsidRPr="000A2318">
        <w:rPr>
          <w:spacing w:val="-4"/>
          <w:sz w:val="24"/>
          <w:szCs w:val="18"/>
          <w:lang w:val="en-US"/>
        </w:rPr>
        <w:t xml:space="preserve"> </w:t>
      </w:r>
      <w:r w:rsidRPr="000A2318">
        <w:rPr>
          <w:i/>
          <w:noProof/>
          <w:spacing w:val="-4"/>
          <w:lang w:val="en-US"/>
        </w:rPr>
        <w:t xml:space="preserve">Financial statement user’s perceptions of the IAASB’ISA 700 unqualified auditor’s report in Germany and the Netherlands, </w:t>
      </w:r>
      <w:r w:rsidRPr="000A2318">
        <w:rPr>
          <w:noProof/>
          <w:spacing w:val="-4"/>
          <w:lang w:val="en-US"/>
        </w:rPr>
        <w:t xml:space="preserve">disponibile su </w:t>
      </w:r>
      <w:hyperlink r:id="rId8" w:history="1">
        <w:r w:rsidRPr="000A2318">
          <w:rPr>
            <w:noProof/>
            <w:spacing w:val="-4"/>
            <w:lang w:val="en-US"/>
          </w:rPr>
          <w:t>www.ifac.org</w:t>
        </w:r>
      </w:hyperlink>
      <w:r w:rsidRPr="000A2318">
        <w:rPr>
          <w:noProof/>
          <w:spacing w:val="-4"/>
          <w:lang w:val="en-US"/>
        </w:rPr>
        <w:t xml:space="preserve"> consultato il 18 giugno 2014.</w:t>
      </w:r>
    </w:p>
    <w:p w:rsidR="00024F4F" w:rsidRPr="007D2CA8" w:rsidRDefault="00024F4F" w:rsidP="005B7C49">
      <w:pPr>
        <w:pStyle w:val="ABibliografia"/>
        <w:widowControl/>
        <w:rPr>
          <w:noProof/>
          <w:spacing w:val="-4"/>
          <w:lang w:val="it-IT"/>
        </w:rPr>
      </w:pPr>
      <w:r w:rsidRPr="007D2CA8">
        <w:rPr>
          <w:rStyle w:val="ABibliografiaNomiAutori0"/>
          <w:noProof/>
          <w:spacing w:val="-4"/>
          <w:lang w:val="it-IT"/>
        </w:rPr>
        <w:t>Ifac (2011),</w:t>
      </w:r>
      <w:r w:rsidRPr="007D2CA8">
        <w:rPr>
          <w:spacing w:val="-4"/>
          <w:sz w:val="24"/>
          <w:lang w:val="it-IT"/>
        </w:rPr>
        <w:t xml:space="preserve"> </w:t>
      </w:r>
      <w:r w:rsidRPr="007D2CA8">
        <w:rPr>
          <w:i/>
          <w:noProof/>
          <w:spacing w:val="-4"/>
          <w:lang w:val="it-IT"/>
        </w:rPr>
        <w:t>Principi internazionali di revisione e controllo della qualità</w:t>
      </w:r>
      <w:r w:rsidRPr="007D2CA8">
        <w:rPr>
          <w:noProof/>
          <w:spacing w:val="-4"/>
          <w:lang w:val="it-IT"/>
        </w:rPr>
        <w:t xml:space="preserve">, Edizione 2009, (Traduzione in italiano a cura della Commissione nazionale per lo studio e statuizione dei principi di revisione). Press S.r.l., Roma. </w:t>
      </w:r>
    </w:p>
    <w:p w:rsidR="00024F4F" w:rsidRPr="007D2CA8" w:rsidRDefault="00024F4F" w:rsidP="005B7C49">
      <w:pPr>
        <w:pStyle w:val="ABibliografia"/>
        <w:widowControl/>
        <w:rPr>
          <w:noProof/>
          <w:spacing w:val="-4"/>
          <w:lang w:val="it-IT"/>
        </w:rPr>
      </w:pPr>
      <w:r w:rsidRPr="007D2CA8">
        <w:rPr>
          <w:rStyle w:val="ABibliografiaNomiAutori0"/>
          <w:noProof/>
          <w:spacing w:val="-4"/>
          <w:lang w:val="it-IT"/>
        </w:rPr>
        <w:t>Ifac (2013a),</w:t>
      </w:r>
      <w:r w:rsidRPr="007D2CA8">
        <w:rPr>
          <w:spacing w:val="-4"/>
          <w:sz w:val="24"/>
          <w:lang w:val="it-IT"/>
        </w:rPr>
        <w:t xml:space="preserve"> </w:t>
      </w:r>
      <w:r w:rsidRPr="007D2CA8">
        <w:rPr>
          <w:i/>
          <w:noProof/>
          <w:spacing w:val="-4"/>
          <w:lang w:val="it-IT"/>
        </w:rPr>
        <w:t>International Standard on Auditing</w:t>
      </w:r>
      <w:r w:rsidRPr="007D2CA8">
        <w:rPr>
          <w:noProof/>
          <w:spacing w:val="-4"/>
          <w:lang w:val="it-IT"/>
        </w:rPr>
        <w:t xml:space="preserve"> (ISA)  570 (revised) – Going concern , disponibile sul sito </w:t>
      </w:r>
      <w:hyperlink r:id="rId9" w:history="1">
        <w:r w:rsidRPr="007D2CA8">
          <w:rPr>
            <w:noProof/>
            <w:spacing w:val="-4"/>
            <w:lang w:val="it-IT"/>
          </w:rPr>
          <w:t>www.ifac.org</w:t>
        </w:r>
      </w:hyperlink>
      <w:r w:rsidRPr="007D2CA8">
        <w:rPr>
          <w:noProof/>
          <w:spacing w:val="-4"/>
          <w:lang w:val="it-IT"/>
        </w:rPr>
        <w:t xml:space="preserve"> consultato il 18 giugno 2014.</w:t>
      </w:r>
    </w:p>
    <w:p w:rsidR="00024F4F" w:rsidRPr="000A2318" w:rsidRDefault="00024F4F" w:rsidP="005B7C49">
      <w:pPr>
        <w:pStyle w:val="ABibliografia"/>
        <w:widowControl/>
        <w:rPr>
          <w:noProof/>
          <w:spacing w:val="-4"/>
          <w:lang w:val="en-US"/>
        </w:rPr>
      </w:pPr>
      <w:r w:rsidRPr="000A2318">
        <w:rPr>
          <w:rStyle w:val="ABibliografiaNomiAutori0"/>
          <w:noProof/>
          <w:spacing w:val="-4"/>
          <w:lang w:val="en-US"/>
        </w:rPr>
        <w:t>Ifac (2013b),</w:t>
      </w:r>
      <w:r w:rsidRPr="000A2318">
        <w:rPr>
          <w:spacing w:val="-4"/>
          <w:sz w:val="24"/>
          <w:lang w:val="en-US"/>
        </w:rPr>
        <w:t xml:space="preserve"> </w:t>
      </w:r>
      <w:r w:rsidRPr="000A2318">
        <w:rPr>
          <w:i/>
          <w:noProof/>
          <w:spacing w:val="-4"/>
          <w:lang w:val="en-US"/>
        </w:rPr>
        <w:t>International Standard on Auditing (ISA)</w:t>
      </w:r>
      <w:r w:rsidRPr="000A2318">
        <w:rPr>
          <w:noProof/>
          <w:spacing w:val="-4"/>
          <w:lang w:val="en-US"/>
        </w:rPr>
        <w:t xml:space="preserve"> 700 (revised) – Forming an opinion and reporting of financial statements, disponibile sul sito </w:t>
      </w:r>
      <w:hyperlink r:id="rId10" w:history="1">
        <w:r w:rsidRPr="000A2318">
          <w:rPr>
            <w:noProof/>
            <w:spacing w:val="-4"/>
            <w:lang w:val="en-US"/>
          </w:rPr>
          <w:t>www.ifac.org</w:t>
        </w:r>
      </w:hyperlink>
      <w:r w:rsidRPr="000A2318">
        <w:rPr>
          <w:noProof/>
          <w:spacing w:val="-4"/>
          <w:lang w:val="en-US"/>
        </w:rPr>
        <w:t xml:space="preserve"> consultato il 18 giugno 2014.</w:t>
      </w:r>
    </w:p>
    <w:p w:rsidR="00024F4F" w:rsidRPr="007D2CA8" w:rsidRDefault="00024F4F" w:rsidP="005B7C49">
      <w:pPr>
        <w:pStyle w:val="ABibliografia"/>
        <w:widowControl/>
        <w:rPr>
          <w:noProof/>
          <w:spacing w:val="-4"/>
          <w:lang w:val="it-IT"/>
        </w:rPr>
      </w:pPr>
      <w:r w:rsidRPr="007D2CA8">
        <w:rPr>
          <w:rStyle w:val="ABibliografiaNomiAutori0"/>
          <w:noProof/>
          <w:spacing w:val="-4"/>
          <w:lang w:val="it-IT"/>
        </w:rPr>
        <w:t>Livatino M., Pecchiari, N. e Pogliani, G. (2005),</w:t>
      </w:r>
      <w:r w:rsidRPr="007D2CA8">
        <w:rPr>
          <w:spacing w:val="-4"/>
          <w:sz w:val="24"/>
          <w:szCs w:val="24"/>
          <w:lang w:val="it-IT"/>
        </w:rPr>
        <w:t xml:space="preserve"> </w:t>
      </w:r>
      <w:r w:rsidRPr="007D2CA8">
        <w:rPr>
          <w:noProof/>
          <w:spacing w:val="-4"/>
          <w:lang w:val="it-IT"/>
        </w:rPr>
        <w:t>Auditing, Egea, Milano.</w:t>
      </w:r>
    </w:p>
    <w:p w:rsidR="00024F4F" w:rsidRPr="007D2CA8" w:rsidRDefault="00024F4F" w:rsidP="005B7C49">
      <w:pPr>
        <w:pStyle w:val="ABibliografia"/>
        <w:widowControl/>
        <w:rPr>
          <w:noProof/>
          <w:spacing w:val="-4"/>
          <w:lang w:val="it-IT"/>
        </w:rPr>
      </w:pPr>
      <w:r w:rsidRPr="007D2CA8">
        <w:rPr>
          <w:rStyle w:val="ABibliografiaNomiAutori0"/>
          <w:noProof/>
          <w:spacing w:val="-4"/>
          <w:lang w:val="it-IT"/>
        </w:rPr>
        <w:t>Lacchini M. (1988),</w:t>
      </w:r>
      <w:r w:rsidRPr="007D2CA8">
        <w:rPr>
          <w:spacing w:val="-4"/>
          <w:lang w:val="it-IT"/>
        </w:rPr>
        <w:t xml:space="preserve"> </w:t>
      </w:r>
      <w:r w:rsidRPr="007D2CA8">
        <w:rPr>
          <w:noProof/>
          <w:spacing w:val="-4"/>
          <w:lang w:val="it-IT"/>
        </w:rPr>
        <w:t>Il postulato di continuità dell’impresa (Going concern): un’analisi critica, in «</w:t>
      </w:r>
      <w:r w:rsidRPr="007D2CA8">
        <w:rPr>
          <w:i/>
          <w:noProof/>
          <w:spacing w:val="-4"/>
          <w:lang w:val="it-IT"/>
        </w:rPr>
        <w:t>Rivista Italiana di Ragioneria ed Economia Aziendale</w:t>
      </w:r>
      <w:r w:rsidRPr="007D2CA8">
        <w:rPr>
          <w:noProof/>
          <w:spacing w:val="-4"/>
          <w:lang w:val="it-IT"/>
        </w:rPr>
        <w:t>», marzo-aprile.</w:t>
      </w:r>
    </w:p>
    <w:p w:rsidR="00024F4F" w:rsidRPr="007D2CA8" w:rsidRDefault="00024F4F" w:rsidP="005B7C49">
      <w:pPr>
        <w:pStyle w:val="ABibliografia"/>
        <w:widowControl/>
        <w:rPr>
          <w:spacing w:val="-4"/>
          <w:lang w:val="it-IT"/>
        </w:rPr>
      </w:pPr>
      <w:r w:rsidRPr="007D2CA8">
        <w:rPr>
          <w:rStyle w:val="ABibliografiaNomiAutori0"/>
          <w:noProof/>
          <w:spacing w:val="-4"/>
          <w:lang w:val="it-IT"/>
        </w:rPr>
        <w:t>Marchi, L. (2012),</w:t>
      </w:r>
      <w:r w:rsidRPr="007D2CA8">
        <w:rPr>
          <w:spacing w:val="-4"/>
          <w:lang w:val="it-IT"/>
        </w:rPr>
        <w:t xml:space="preserve"> </w:t>
      </w:r>
      <w:r w:rsidRPr="007D2CA8">
        <w:rPr>
          <w:noProof/>
          <w:spacing w:val="-4"/>
          <w:lang w:val="it-IT"/>
        </w:rPr>
        <w:t xml:space="preserve">Revisione aziendale e sistemi di controllo interno, </w:t>
      </w:r>
      <w:r w:rsidRPr="007D2CA8">
        <w:rPr>
          <w:i/>
          <w:noProof/>
          <w:spacing w:val="-4"/>
          <w:lang w:val="it-IT"/>
        </w:rPr>
        <w:t>Terza Edizione, Giuffré, Milano</w:t>
      </w:r>
      <w:r w:rsidRPr="007D2CA8">
        <w:rPr>
          <w:noProof/>
          <w:spacing w:val="-4"/>
          <w:lang w:val="it-IT"/>
        </w:rPr>
        <w:t>.</w:t>
      </w:r>
    </w:p>
    <w:p w:rsidR="00024F4F" w:rsidRPr="000A2318" w:rsidRDefault="00024F4F" w:rsidP="005B7C49">
      <w:pPr>
        <w:pStyle w:val="ABibliografia"/>
        <w:widowControl/>
        <w:rPr>
          <w:noProof/>
          <w:spacing w:val="-4"/>
          <w:lang w:val="en-US"/>
        </w:rPr>
      </w:pPr>
      <w:r w:rsidRPr="000A2318">
        <w:rPr>
          <w:rStyle w:val="ABibliografiaNomiAutori0"/>
          <w:noProof/>
          <w:spacing w:val="-4"/>
          <w:lang w:val="en-US"/>
        </w:rPr>
        <w:t>Mock, T.J., Turner, J.L., Gray, G.L. e Coram, P.J. (2009),</w:t>
      </w:r>
      <w:r w:rsidRPr="000A2318">
        <w:rPr>
          <w:spacing w:val="-4"/>
          <w:sz w:val="24"/>
          <w:szCs w:val="18"/>
          <w:lang w:val="en-US"/>
        </w:rPr>
        <w:t xml:space="preserve"> </w:t>
      </w:r>
      <w:r w:rsidRPr="000A2318">
        <w:rPr>
          <w:noProof/>
          <w:spacing w:val="-4"/>
          <w:lang w:val="en-US"/>
        </w:rPr>
        <w:t xml:space="preserve">The unqualified Auditor’s Report: a study of user perceptions, effects on user decisions and decision processes and directions for further research, disponibile sul sito </w:t>
      </w:r>
      <w:hyperlink r:id="rId11" w:history="1">
        <w:r w:rsidRPr="000A2318">
          <w:rPr>
            <w:noProof/>
            <w:spacing w:val="-4"/>
            <w:lang w:val="en-US"/>
          </w:rPr>
          <w:t>www.ifac.org</w:t>
        </w:r>
      </w:hyperlink>
      <w:r w:rsidRPr="000A2318">
        <w:rPr>
          <w:noProof/>
          <w:spacing w:val="-4"/>
          <w:lang w:val="en-US"/>
        </w:rPr>
        <w:t xml:space="preserve"> consultato il 18 giugno 2014.</w:t>
      </w:r>
    </w:p>
    <w:p w:rsidR="00024F4F" w:rsidRPr="007D2CA8" w:rsidRDefault="00024F4F" w:rsidP="005B7C49">
      <w:pPr>
        <w:pStyle w:val="ABibliografia"/>
        <w:widowControl/>
        <w:rPr>
          <w:spacing w:val="-4"/>
          <w:lang w:val="it-IT"/>
        </w:rPr>
      </w:pPr>
      <w:r w:rsidRPr="007D2CA8">
        <w:rPr>
          <w:rStyle w:val="ABibliografiaNomiAutori0"/>
          <w:noProof/>
          <w:spacing w:val="-4"/>
          <w:lang w:val="it-IT"/>
        </w:rPr>
        <w:t xml:space="preserve">Provasoli A. (1989), </w:t>
      </w:r>
      <w:r w:rsidRPr="007D2CA8">
        <w:rPr>
          <w:noProof/>
          <w:spacing w:val="-4"/>
          <w:lang w:val="it-IT"/>
        </w:rPr>
        <w:t xml:space="preserve">Il bilancio come strumento di comunicazione, </w:t>
      </w:r>
      <w:r w:rsidRPr="007D2CA8">
        <w:rPr>
          <w:i/>
          <w:noProof/>
          <w:spacing w:val="-4"/>
          <w:lang w:val="it-IT"/>
        </w:rPr>
        <w:t>Economia &amp; Management</w:t>
      </w:r>
      <w:r w:rsidRPr="007D2CA8">
        <w:rPr>
          <w:noProof/>
          <w:spacing w:val="-4"/>
          <w:lang w:val="it-IT"/>
        </w:rPr>
        <w:t>, maggio.</w:t>
      </w:r>
    </w:p>
    <w:p w:rsidR="00024F4F" w:rsidRPr="007D2CA8" w:rsidRDefault="00024F4F" w:rsidP="005B7C49">
      <w:pPr>
        <w:pStyle w:val="ABibliografia"/>
        <w:widowControl/>
        <w:rPr>
          <w:spacing w:val="-4"/>
          <w:lang w:val="it-IT"/>
        </w:rPr>
      </w:pPr>
      <w:r w:rsidRPr="007D2CA8">
        <w:rPr>
          <w:rStyle w:val="ABibliografiaNomiAutori0"/>
          <w:noProof/>
          <w:spacing w:val="-4"/>
          <w:lang w:val="it-IT"/>
        </w:rPr>
        <w:t>Terzani, S. (2002),</w:t>
      </w:r>
      <w:r w:rsidRPr="007D2CA8">
        <w:rPr>
          <w:spacing w:val="-4"/>
          <w:lang w:val="it-IT"/>
        </w:rPr>
        <w:t xml:space="preserve"> </w:t>
      </w:r>
      <w:r w:rsidRPr="007D2CA8">
        <w:rPr>
          <w:noProof/>
          <w:spacing w:val="-4"/>
          <w:lang w:val="it-IT"/>
        </w:rPr>
        <w:t>Il sistema dei bilanci, Franco Angeli, Milano.</w:t>
      </w:r>
    </w:p>
    <w:p w:rsidR="00024F4F" w:rsidRPr="007D2CA8" w:rsidRDefault="00024F4F" w:rsidP="005B7C49">
      <w:pPr>
        <w:pStyle w:val="ABibliografia"/>
        <w:widowControl/>
        <w:rPr>
          <w:spacing w:val="-4"/>
          <w:szCs w:val="18"/>
          <w:lang w:val="it-IT"/>
        </w:rPr>
      </w:pPr>
    </w:p>
    <w:sectPr w:rsidR="00024F4F" w:rsidRPr="007D2CA8" w:rsidSect="00B26136">
      <w:headerReference w:type="even" r:id="rId12"/>
      <w:footerReference w:type="even" r:id="rId13"/>
      <w:headerReference w:type="first" r:id="rId14"/>
      <w:footerReference w:type="first" r:id="rId15"/>
      <w:pgSz w:w="10438" w:h="15122" w:code="7"/>
      <w:pgMar w:top="2155" w:right="1304" w:bottom="1701" w:left="1134" w:header="1361" w:footer="720" w:gutter="0"/>
      <w:pgNumType w:start="694"/>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7F98" w:rsidRDefault="00F87F98">
      <w:r>
        <w:separator/>
      </w:r>
    </w:p>
    <w:p w:rsidR="00F87F98" w:rsidRDefault="00F87F98"/>
  </w:endnote>
  <w:endnote w:type="continuationSeparator" w:id="0">
    <w:p w:rsidR="00F87F98" w:rsidRDefault="00F87F98">
      <w:r>
        <w:continuationSeparator/>
      </w:r>
    </w:p>
    <w:p w:rsidR="00F87F98" w:rsidRDefault="00F87F9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Helvetica Neue">
    <w:panose1 w:val="00000000000000000000"/>
    <w:charset w:val="00"/>
    <w:family w:val="auto"/>
    <w:notTrueType/>
    <w:pitch w:val="variable"/>
    <w:sig w:usb0="00000003" w:usb1="00000000" w:usb2="00000000" w:usb3="00000000" w:csb0="00000001" w:csb1="00000000"/>
  </w:font>
  <w:font w:name="(Tipo di carattere testo asiati">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6301" w:rsidRDefault="00EB6301">
    <w:r>
      <w:rPr>
        <w:rStyle w:val="Numeropagina"/>
        <w:sz w:val="17"/>
        <w:szCs w:val="17"/>
      </w:rPr>
      <w:fldChar w:fldCharType="begin"/>
    </w:r>
    <w:r>
      <w:rPr>
        <w:rStyle w:val="Numeropagina"/>
        <w:sz w:val="17"/>
        <w:szCs w:val="17"/>
      </w:rPr>
      <w:fldChar w:fldCharType="end"/>
    </w:r>
  </w:p>
  <w:p w:rsidR="00EB6301" w:rsidRDefault="00EB6301"/>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6301" w:rsidRDefault="00EB6301">
    <w:r>
      <w:rPr>
        <w:rStyle w:val="Numeropagina"/>
        <w:sz w:val="17"/>
        <w:szCs w:val="17"/>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7F98" w:rsidRPr="00D15BFC" w:rsidRDefault="00F87F98">
      <w:pPr>
        <w:tabs>
          <w:tab w:val="center" w:pos="6746"/>
        </w:tabs>
        <w:spacing w:line="40" w:lineRule="exact"/>
        <w:rPr>
          <w:rFonts w:ascii="Garamond" w:hAnsi="Garamond"/>
          <w:smallCaps/>
          <w:sz w:val="12"/>
          <w:szCs w:val="12"/>
        </w:rPr>
      </w:pPr>
    </w:p>
    <w:p w:rsidR="00F87F98" w:rsidRPr="00E004C4" w:rsidRDefault="00F87F98">
      <w:pPr>
        <w:tabs>
          <w:tab w:val="center" w:pos="6746"/>
        </w:tabs>
        <w:rPr>
          <w:rFonts w:ascii="Garamond" w:hAnsi="Garamond"/>
          <w:smallCaps/>
          <w:spacing w:val="-10"/>
          <w:sz w:val="20"/>
          <w:szCs w:val="20"/>
        </w:rPr>
      </w:pPr>
      <w:r w:rsidRPr="00E004C4">
        <w:rPr>
          <w:rFonts w:ascii="Garamond" w:hAnsi="Garamond"/>
          <w:smallCaps/>
          <w:spacing w:val="-10"/>
          <w:sz w:val="20"/>
          <w:szCs w:val="20"/>
        </w:rPr>
        <w:t>____________</w:t>
      </w:r>
    </w:p>
    <w:p w:rsidR="00F87F98" w:rsidRPr="00D15BFC" w:rsidRDefault="00F87F98">
      <w:pPr>
        <w:pStyle w:val="Pidipagina"/>
        <w:spacing w:line="80" w:lineRule="exact"/>
      </w:pPr>
    </w:p>
    <w:p w:rsidR="00F87F98" w:rsidRDefault="00F87F98"/>
  </w:footnote>
  <w:footnote w:type="continuationSeparator" w:id="0">
    <w:p w:rsidR="00F87F98" w:rsidRPr="00D15BFC" w:rsidRDefault="00F87F98">
      <w:pPr>
        <w:tabs>
          <w:tab w:val="center" w:pos="6746"/>
        </w:tabs>
        <w:spacing w:line="40" w:lineRule="exact"/>
        <w:rPr>
          <w:rFonts w:ascii="Garamond" w:hAnsi="Garamond"/>
          <w:smallCaps/>
          <w:sz w:val="12"/>
          <w:szCs w:val="12"/>
        </w:rPr>
      </w:pPr>
    </w:p>
    <w:p w:rsidR="00F87F98" w:rsidRPr="00E004C4" w:rsidRDefault="00F87F98">
      <w:pPr>
        <w:tabs>
          <w:tab w:val="center" w:pos="6746"/>
        </w:tabs>
        <w:rPr>
          <w:rFonts w:ascii="Garamond" w:hAnsi="Garamond"/>
          <w:smallCaps/>
          <w:spacing w:val="-10"/>
          <w:sz w:val="20"/>
          <w:szCs w:val="20"/>
        </w:rPr>
      </w:pPr>
      <w:r w:rsidRPr="00E004C4">
        <w:rPr>
          <w:rFonts w:ascii="Garamond" w:hAnsi="Garamond"/>
          <w:smallCaps/>
          <w:spacing w:val="-10"/>
          <w:sz w:val="20"/>
          <w:szCs w:val="20"/>
        </w:rPr>
        <w:t>_______</w:t>
      </w:r>
      <w:r>
        <w:rPr>
          <w:rFonts w:ascii="Garamond" w:hAnsi="Garamond"/>
          <w:smallCaps/>
          <w:spacing w:val="-10"/>
          <w:sz w:val="20"/>
          <w:szCs w:val="20"/>
        </w:rPr>
        <w:t>_____________________________________________________________________________</w:t>
      </w:r>
      <w:r w:rsidRPr="00E004C4">
        <w:rPr>
          <w:rFonts w:ascii="Garamond" w:hAnsi="Garamond"/>
          <w:smallCaps/>
          <w:spacing w:val="-10"/>
          <w:sz w:val="20"/>
          <w:szCs w:val="20"/>
        </w:rPr>
        <w:t>_____</w:t>
      </w:r>
    </w:p>
    <w:p w:rsidR="00F87F98" w:rsidRPr="00D15BFC" w:rsidRDefault="00F87F98">
      <w:pPr>
        <w:pStyle w:val="Pidipagina"/>
        <w:spacing w:line="80" w:lineRule="exact"/>
      </w:pPr>
    </w:p>
    <w:p w:rsidR="00F87F98" w:rsidRDefault="00F87F98"/>
  </w:footnote>
  <w:footnote w:id="1">
    <w:p w:rsidR="00EB6301" w:rsidRPr="005B7C49" w:rsidRDefault="00EB6301" w:rsidP="00024F4F">
      <w:pPr>
        <w:pStyle w:val="Testonotaapidipagina"/>
        <w:jc w:val="both"/>
        <w:rPr>
          <w:rStyle w:val="ANoteCarattere"/>
        </w:rPr>
      </w:pPr>
      <w:r w:rsidRPr="005B7C49">
        <w:rPr>
          <w:rStyle w:val="ANoteApice"/>
        </w:rPr>
        <w:t>(</w:t>
      </w:r>
      <w:r w:rsidRPr="005B7C49">
        <w:rPr>
          <w:rStyle w:val="ANoteApice"/>
        </w:rPr>
        <w:footnoteRef/>
      </w:r>
      <w:r w:rsidRPr="005B7C49">
        <w:rPr>
          <w:rStyle w:val="ANoteApice"/>
        </w:rPr>
        <w:t xml:space="preserve">) </w:t>
      </w:r>
      <w:r w:rsidRPr="005B7C49">
        <w:rPr>
          <w:rStyle w:val="ANoteCarattere"/>
        </w:rPr>
        <w:t>Per completezza si segnala che la c.d. nuova Direttiva revisione (Direttiva 2014/56/UE del 16 aprile 2014 che m</w:t>
      </w:r>
      <w:r w:rsidRPr="005B7C49">
        <w:rPr>
          <w:rStyle w:val="ANoteCarattere"/>
        </w:rPr>
        <w:t>o</w:t>
      </w:r>
      <w:r w:rsidRPr="005B7C49">
        <w:rPr>
          <w:rStyle w:val="ANoteCarattere"/>
        </w:rPr>
        <w:t>difica la precedente Direttiva 2006/43/CE i cui stati membri dovranno adottare entro il 17 giugno 2016) all’art. 28  lett. f) richiede al revisore, in sede di relazione, una specifica dichiarazione su eventuali incertezze significative relative a eventi o a circostanze che potrebbero sollevare dubbi significativi sulla capacità dell’ente di mantenere la continuità aziendale.</w:t>
      </w:r>
    </w:p>
  </w:footnote>
  <w:footnote w:id="2">
    <w:p w:rsidR="00EB6301" w:rsidRPr="005B7C49" w:rsidRDefault="00EB6301" w:rsidP="00024F4F">
      <w:pPr>
        <w:pStyle w:val="Testonotaapidipagina"/>
        <w:jc w:val="both"/>
        <w:rPr>
          <w:rStyle w:val="ANoteCarattere"/>
        </w:rPr>
      </w:pPr>
      <w:r w:rsidRPr="005B7C49">
        <w:rPr>
          <w:rStyle w:val="ANoteApice"/>
        </w:rPr>
        <w:t>(</w:t>
      </w:r>
      <w:r w:rsidRPr="005B7C49">
        <w:rPr>
          <w:rStyle w:val="ANoteApice"/>
        </w:rPr>
        <w:footnoteRef/>
      </w:r>
      <w:r w:rsidRPr="005B7C49">
        <w:rPr>
          <w:rStyle w:val="ANoteApice"/>
        </w:rPr>
        <w:t xml:space="preserve">) </w:t>
      </w:r>
      <w:r w:rsidRPr="005B7C49">
        <w:rPr>
          <w:rStyle w:val="ANoteCarattere"/>
        </w:rPr>
        <w:t>E’ pertanto esclusa dalla nostra indagine l’ipotesi di dichiarazioni di impossibilità di esprimere un giudizio per lim</w:t>
      </w:r>
      <w:r w:rsidRPr="005B7C49">
        <w:rPr>
          <w:rStyle w:val="ANoteCarattere"/>
        </w:rPr>
        <w:t>i</w:t>
      </w:r>
      <w:r w:rsidRPr="005B7C49">
        <w:rPr>
          <w:rStyle w:val="ANoteCarattere"/>
        </w:rPr>
        <w:t>tazioni significative e pervasive nello svolgimento della statuite procedure di revisione.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6301" w:rsidRDefault="00EB6301" w:rsidP="00D0323C">
    <w:pPr>
      <w:pStyle w:val="Intestazione"/>
      <w:tabs>
        <w:tab w:val="clear" w:pos="4819"/>
        <w:tab w:val="center" w:pos="3960"/>
        <w:tab w:val="right" w:pos="8080"/>
      </w:tabs>
      <w:spacing w:line="120" w:lineRule="exact"/>
    </w:pPr>
  </w:p>
  <w:p w:rsidR="00EB6301" w:rsidRDefault="00EB6301"/>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6301" w:rsidRDefault="00EB6301">
    <w:pPr>
      <w:pStyle w:val="Intestazione"/>
      <w:tabs>
        <w:tab w:val="right" w:pos="808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3280B8D2"/>
    <w:lvl w:ilvl="0">
      <w:start w:val="1"/>
      <w:numFmt w:val="bullet"/>
      <w:pStyle w:val="AAutoriinizarticolo"/>
      <w:lvlText w:val=""/>
      <w:lvlJc w:val="left"/>
      <w:pPr>
        <w:tabs>
          <w:tab w:val="num" w:pos="926"/>
        </w:tabs>
        <w:ind w:left="926" w:hanging="360"/>
      </w:pPr>
      <w:rPr>
        <w:rFonts w:ascii="Symbol" w:hAnsi="Symbol" w:hint="default"/>
      </w:rPr>
    </w:lvl>
  </w:abstractNum>
  <w:abstractNum w:abstractNumId="1">
    <w:nsid w:val="0AB72D41"/>
    <w:multiLevelType w:val="hybridMultilevel"/>
    <w:tmpl w:val="24BE0C22"/>
    <w:lvl w:ilvl="0" w:tplc="2F380800">
      <w:numFmt w:val="bullet"/>
      <w:lvlText w:val="-"/>
      <w:lvlJc w:val="left"/>
      <w:pPr>
        <w:ind w:left="644" w:hanging="360"/>
      </w:pPr>
      <w:rPr>
        <w:rFonts w:ascii="Calibri" w:eastAsia="Times New Roman" w:hAnsi="Calibri" w:cs="Times New Roman"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2">
    <w:nsid w:val="0CA1418A"/>
    <w:multiLevelType w:val="multilevel"/>
    <w:tmpl w:val="7122BEE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i/>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nsid w:val="11E35376"/>
    <w:multiLevelType w:val="hybridMultilevel"/>
    <w:tmpl w:val="5D7CC4FC"/>
    <w:lvl w:ilvl="0" w:tplc="04100001">
      <w:start w:val="1"/>
      <w:numFmt w:val="bullet"/>
      <w:lvlText w:val=""/>
      <w:lvlJc w:val="left"/>
      <w:pPr>
        <w:tabs>
          <w:tab w:val="num" w:pos="700"/>
        </w:tabs>
        <w:ind w:left="700" w:hanging="360"/>
      </w:pPr>
      <w:rPr>
        <w:rFonts w:ascii="Symbol" w:hAnsi="Symbol" w:hint="default"/>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cs="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cs="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4">
    <w:nsid w:val="1A1552C8"/>
    <w:multiLevelType w:val="hybridMultilevel"/>
    <w:tmpl w:val="125831E6"/>
    <w:lvl w:ilvl="0" w:tplc="4662822A">
      <w:start w:val="1"/>
      <w:numFmt w:val="bullet"/>
      <w:lvlText w:val=""/>
      <w:lvlJc w:val="left"/>
      <w:pPr>
        <w:tabs>
          <w:tab w:val="num" w:pos="340"/>
        </w:tabs>
        <w:ind w:left="624" w:hanging="284"/>
      </w:pPr>
      <w:rPr>
        <w:rFonts w:ascii="Symbol" w:hAnsi="Symbol" w:hint="default"/>
      </w:rPr>
    </w:lvl>
    <w:lvl w:ilvl="1" w:tplc="04100019" w:tentative="1">
      <w:start w:val="1"/>
      <w:numFmt w:val="lowerLetter"/>
      <w:lvlText w:val="%2."/>
      <w:lvlJc w:val="left"/>
      <w:pPr>
        <w:tabs>
          <w:tab w:val="num" w:pos="1789"/>
        </w:tabs>
        <w:ind w:left="1789" w:hanging="360"/>
      </w:pPr>
    </w:lvl>
    <w:lvl w:ilvl="2" w:tplc="0410001B" w:tentative="1">
      <w:start w:val="1"/>
      <w:numFmt w:val="lowerRoman"/>
      <w:lvlText w:val="%3."/>
      <w:lvlJc w:val="right"/>
      <w:pPr>
        <w:tabs>
          <w:tab w:val="num" w:pos="2509"/>
        </w:tabs>
        <w:ind w:left="2509" w:hanging="180"/>
      </w:pPr>
    </w:lvl>
    <w:lvl w:ilvl="3" w:tplc="0410000F" w:tentative="1">
      <w:start w:val="1"/>
      <w:numFmt w:val="decimal"/>
      <w:lvlText w:val="%4."/>
      <w:lvlJc w:val="left"/>
      <w:pPr>
        <w:tabs>
          <w:tab w:val="num" w:pos="3229"/>
        </w:tabs>
        <w:ind w:left="3229" w:hanging="360"/>
      </w:pPr>
    </w:lvl>
    <w:lvl w:ilvl="4" w:tplc="04100019" w:tentative="1">
      <w:start w:val="1"/>
      <w:numFmt w:val="lowerLetter"/>
      <w:lvlText w:val="%5."/>
      <w:lvlJc w:val="left"/>
      <w:pPr>
        <w:tabs>
          <w:tab w:val="num" w:pos="3949"/>
        </w:tabs>
        <w:ind w:left="3949" w:hanging="360"/>
      </w:pPr>
    </w:lvl>
    <w:lvl w:ilvl="5" w:tplc="0410001B" w:tentative="1">
      <w:start w:val="1"/>
      <w:numFmt w:val="lowerRoman"/>
      <w:lvlText w:val="%6."/>
      <w:lvlJc w:val="right"/>
      <w:pPr>
        <w:tabs>
          <w:tab w:val="num" w:pos="4669"/>
        </w:tabs>
        <w:ind w:left="4669" w:hanging="180"/>
      </w:pPr>
    </w:lvl>
    <w:lvl w:ilvl="6" w:tplc="0410000F" w:tentative="1">
      <w:start w:val="1"/>
      <w:numFmt w:val="decimal"/>
      <w:lvlText w:val="%7."/>
      <w:lvlJc w:val="left"/>
      <w:pPr>
        <w:tabs>
          <w:tab w:val="num" w:pos="5389"/>
        </w:tabs>
        <w:ind w:left="5389" w:hanging="360"/>
      </w:pPr>
    </w:lvl>
    <w:lvl w:ilvl="7" w:tplc="04100019" w:tentative="1">
      <w:start w:val="1"/>
      <w:numFmt w:val="lowerLetter"/>
      <w:lvlText w:val="%8."/>
      <w:lvlJc w:val="left"/>
      <w:pPr>
        <w:tabs>
          <w:tab w:val="num" w:pos="6109"/>
        </w:tabs>
        <w:ind w:left="6109" w:hanging="360"/>
      </w:pPr>
    </w:lvl>
    <w:lvl w:ilvl="8" w:tplc="0410001B" w:tentative="1">
      <w:start w:val="1"/>
      <w:numFmt w:val="lowerRoman"/>
      <w:lvlText w:val="%9."/>
      <w:lvlJc w:val="right"/>
      <w:pPr>
        <w:tabs>
          <w:tab w:val="num" w:pos="6829"/>
        </w:tabs>
        <w:ind w:left="6829" w:hanging="180"/>
      </w:pPr>
    </w:lvl>
  </w:abstractNum>
  <w:abstractNum w:abstractNumId="5">
    <w:nsid w:val="1BDC02E9"/>
    <w:multiLevelType w:val="hybridMultilevel"/>
    <w:tmpl w:val="A16422EC"/>
    <w:lvl w:ilvl="0" w:tplc="04100001">
      <w:start w:val="1"/>
      <w:numFmt w:val="bullet"/>
      <w:lvlText w:val=""/>
      <w:lvlJc w:val="left"/>
      <w:pPr>
        <w:tabs>
          <w:tab w:val="num" w:pos="700"/>
        </w:tabs>
        <w:ind w:left="700" w:hanging="360"/>
      </w:pPr>
      <w:rPr>
        <w:rFonts w:ascii="Symbol" w:hAnsi="Symbol" w:hint="default"/>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cs="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cs="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6">
    <w:nsid w:val="2895240C"/>
    <w:multiLevelType w:val="hybridMultilevel"/>
    <w:tmpl w:val="3C6C46B4"/>
    <w:lvl w:ilvl="0" w:tplc="0410000F">
      <w:start w:val="1"/>
      <w:numFmt w:val="decimal"/>
      <w:lvlText w:val="%1."/>
      <w:lvlJc w:val="left"/>
      <w:pPr>
        <w:ind w:left="720" w:hanging="360"/>
      </w:pPr>
      <w:rPr>
        <w:rFonts w:hint="default"/>
      </w:rPr>
    </w:lvl>
    <w:lvl w:ilvl="1" w:tplc="E0FA9C92">
      <w:start w:val="1"/>
      <w:numFmt w:val="lowerLetter"/>
      <w:pStyle w:val="AElencoLettere"/>
      <w:lvlText w:val="%2)"/>
      <w:lvlJc w:val="left"/>
      <w:pPr>
        <w:tabs>
          <w:tab w:val="num" w:pos="340"/>
        </w:tabs>
        <w:ind w:left="624" w:hanging="284"/>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2CCA089C"/>
    <w:multiLevelType w:val="multilevel"/>
    <w:tmpl w:val="008E8E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i/>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nsid w:val="308E7B63"/>
    <w:multiLevelType w:val="multilevel"/>
    <w:tmpl w:val="B6C883A4"/>
    <w:lvl w:ilvl="0">
      <w:start w:val="1"/>
      <w:numFmt w:val="decimal"/>
      <w:lvlText w:val="%1."/>
      <w:lvlJc w:val="left"/>
      <w:pPr>
        <w:tabs>
          <w:tab w:val="num" w:pos="340"/>
        </w:tabs>
        <w:ind w:left="624" w:hanging="284"/>
      </w:pPr>
      <w:rPr>
        <w:rFonts w:hint="default"/>
      </w:rPr>
    </w:lvl>
    <w:lvl w:ilvl="1">
      <w:start w:val="1"/>
      <w:numFmt w:val="bullet"/>
      <w:lvlText w:val="o"/>
      <w:lvlJc w:val="left"/>
      <w:pPr>
        <w:tabs>
          <w:tab w:val="num" w:pos="1780"/>
        </w:tabs>
        <w:ind w:left="1780" w:hanging="360"/>
      </w:pPr>
      <w:rPr>
        <w:rFonts w:ascii="Courier New" w:hAnsi="Courier New" w:cs="Courier New" w:hint="default"/>
      </w:rPr>
    </w:lvl>
    <w:lvl w:ilvl="2">
      <w:start w:val="1"/>
      <w:numFmt w:val="bullet"/>
      <w:lvlText w:val=""/>
      <w:lvlJc w:val="left"/>
      <w:pPr>
        <w:tabs>
          <w:tab w:val="num" w:pos="2500"/>
        </w:tabs>
        <w:ind w:left="2500" w:hanging="360"/>
      </w:pPr>
      <w:rPr>
        <w:rFonts w:ascii="Wingdings" w:hAnsi="Wingdings" w:hint="default"/>
      </w:rPr>
    </w:lvl>
    <w:lvl w:ilvl="3">
      <w:start w:val="1"/>
      <w:numFmt w:val="bullet"/>
      <w:lvlText w:val=""/>
      <w:lvlJc w:val="left"/>
      <w:pPr>
        <w:tabs>
          <w:tab w:val="num" w:pos="3220"/>
        </w:tabs>
        <w:ind w:left="3220" w:hanging="360"/>
      </w:pPr>
      <w:rPr>
        <w:rFonts w:ascii="Symbol" w:hAnsi="Symbol" w:hint="default"/>
      </w:rPr>
    </w:lvl>
    <w:lvl w:ilvl="4">
      <w:start w:val="1"/>
      <w:numFmt w:val="bullet"/>
      <w:lvlText w:val="o"/>
      <w:lvlJc w:val="left"/>
      <w:pPr>
        <w:tabs>
          <w:tab w:val="num" w:pos="3940"/>
        </w:tabs>
        <w:ind w:left="3940" w:hanging="360"/>
      </w:pPr>
      <w:rPr>
        <w:rFonts w:ascii="Courier New" w:hAnsi="Courier New" w:cs="Courier New" w:hint="default"/>
      </w:rPr>
    </w:lvl>
    <w:lvl w:ilvl="5">
      <w:start w:val="1"/>
      <w:numFmt w:val="bullet"/>
      <w:lvlText w:val=""/>
      <w:lvlJc w:val="left"/>
      <w:pPr>
        <w:tabs>
          <w:tab w:val="num" w:pos="4660"/>
        </w:tabs>
        <w:ind w:left="4660" w:hanging="360"/>
      </w:pPr>
      <w:rPr>
        <w:rFonts w:ascii="Wingdings" w:hAnsi="Wingdings" w:hint="default"/>
      </w:rPr>
    </w:lvl>
    <w:lvl w:ilvl="6">
      <w:start w:val="1"/>
      <w:numFmt w:val="bullet"/>
      <w:lvlText w:val=""/>
      <w:lvlJc w:val="left"/>
      <w:pPr>
        <w:tabs>
          <w:tab w:val="num" w:pos="5380"/>
        </w:tabs>
        <w:ind w:left="5380" w:hanging="360"/>
      </w:pPr>
      <w:rPr>
        <w:rFonts w:ascii="Symbol" w:hAnsi="Symbol" w:hint="default"/>
      </w:rPr>
    </w:lvl>
    <w:lvl w:ilvl="7">
      <w:start w:val="1"/>
      <w:numFmt w:val="bullet"/>
      <w:lvlText w:val="o"/>
      <w:lvlJc w:val="left"/>
      <w:pPr>
        <w:tabs>
          <w:tab w:val="num" w:pos="6100"/>
        </w:tabs>
        <w:ind w:left="6100" w:hanging="360"/>
      </w:pPr>
      <w:rPr>
        <w:rFonts w:ascii="Courier New" w:hAnsi="Courier New" w:cs="Courier New" w:hint="default"/>
      </w:rPr>
    </w:lvl>
    <w:lvl w:ilvl="8">
      <w:start w:val="1"/>
      <w:numFmt w:val="bullet"/>
      <w:lvlText w:val=""/>
      <w:lvlJc w:val="left"/>
      <w:pPr>
        <w:tabs>
          <w:tab w:val="num" w:pos="6820"/>
        </w:tabs>
        <w:ind w:left="6820" w:hanging="360"/>
      </w:pPr>
      <w:rPr>
        <w:rFonts w:ascii="Wingdings" w:hAnsi="Wingdings" w:hint="default"/>
      </w:rPr>
    </w:lvl>
  </w:abstractNum>
  <w:abstractNum w:abstractNumId="9">
    <w:nsid w:val="32EC4D1E"/>
    <w:multiLevelType w:val="hybridMultilevel"/>
    <w:tmpl w:val="ABB02E2E"/>
    <w:lvl w:ilvl="0" w:tplc="8EC47AD4">
      <w:start w:val="1"/>
      <w:numFmt w:val="lowerLetter"/>
      <w:lvlText w:val="%1)"/>
      <w:lvlJc w:val="left"/>
      <w:pPr>
        <w:ind w:left="927" w:hanging="360"/>
      </w:pPr>
      <w:rPr>
        <w:rFonts w:cs="Times New Roman" w:hint="default"/>
      </w:rPr>
    </w:lvl>
    <w:lvl w:ilvl="1" w:tplc="04100019" w:tentative="1">
      <w:start w:val="1"/>
      <w:numFmt w:val="lowerLetter"/>
      <w:lvlText w:val="%2."/>
      <w:lvlJc w:val="left"/>
      <w:pPr>
        <w:ind w:left="1647" w:hanging="360"/>
      </w:pPr>
      <w:rPr>
        <w:rFonts w:cs="Times New Roman"/>
      </w:rPr>
    </w:lvl>
    <w:lvl w:ilvl="2" w:tplc="0410001B" w:tentative="1">
      <w:start w:val="1"/>
      <w:numFmt w:val="lowerRoman"/>
      <w:lvlText w:val="%3."/>
      <w:lvlJc w:val="right"/>
      <w:pPr>
        <w:ind w:left="2367" w:hanging="180"/>
      </w:pPr>
      <w:rPr>
        <w:rFonts w:cs="Times New Roman"/>
      </w:rPr>
    </w:lvl>
    <w:lvl w:ilvl="3" w:tplc="0410000F" w:tentative="1">
      <w:start w:val="1"/>
      <w:numFmt w:val="decimal"/>
      <w:lvlText w:val="%4."/>
      <w:lvlJc w:val="left"/>
      <w:pPr>
        <w:ind w:left="3087" w:hanging="360"/>
      </w:pPr>
      <w:rPr>
        <w:rFonts w:cs="Times New Roman"/>
      </w:rPr>
    </w:lvl>
    <w:lvl w:ilvl="4" w:tplc="04100019" w:tentative="1">
      <w:start w:val="1"/>
      <w:numFmt w:val="lowerLetter"/>
      <w:lvlText w:val="%5."/>
      <w:lvlJc w:val="left"/>
      <w:pPr>
        <w:ind w:left="3807" w:hanging="360"/>
      </w:pPr>
      <w:rPr>
        <w:rFonts w:cs="Times New Roman"/>
      </w:rPr>
    </w:lvl>
    <w:lvl w:ilvl="5" w:tplc="0410001B" w:tentative="1">
      <w:start w:val="1"/>
      <w:numFmt w:val="lowerRoman"/>
      <w:lvlText w:val="%6."/>
      <w:lvlJc w:val="right"/>
      <w:pPr>
        <w:ind w:left="4527" w:hanging="180"/>
      </w:pPr>
      <w:rPr>
        <w:rFonts w:cs="Times New Roman"/>
      </w:rPr>
    </w:lvl>
    <w:lvl w:ilvl="6" w:tplc="0410000F" w:tentative="1">
      <w:start w:val="1"/>
      <w:numFmt w:val="decimal"/>
      <w:lvlText w:val="%7."/>
      <w:lvlJc w:val="left"/>
      <w:pPr>
        <w:ind w:left="5247" w:hanging="360"/>
      </w:pPr>
      <w:rPr>
        <w:rFonts w:cs="Times New Roman"/>
      </w:rPr>
    </w:lvl>
    <w:lvl w:ilvl="7" w:tplc="04100019" w:tentative="1">
      <w:start w:val="1"/>
      <w:numFmt w:val="lowerLetter"/>
      <w:lvlText w:val="%8."/>
      <w:lvlJc w:val="left"/>
      <w:pPr>
        <w:ind w:left="5967" w:hanging="360"/>
      </w:pPr>
      <w:rPr>
        <w:rFonts w:cs="Times New Roman"/>
      </w:rPr>
    </w:lvl>
    <w:lvl w:ilvl="8" w:tplc="0410001B" w:tentative="1">
      <w:start w:val="1"/>
      <w:numFmt w:val="lowerRoman"/>
      <w:lvlText w:val="%9."/>
      <w:lvlJc w:val="right"/>
      <w:pPr>
        <w:ind w:left="6687" w:hanging="180"/>
      </w:pPr>
      <w:rPr>
        <w:rFonts w:cs="Times New Roman"/>
      </w:rPr>
    </w:lvl>
  </w:abstractNum>
  <w:abstractNum w:abstractNumId="10">
    <w:nsid w:val="3C61190B"/>
    <w:multiLevelType w:val="hybridMultilevel"/>
    <w:tmpl w:val="718C9BA0"/>
    <w:lvl w:ilvl="0" w:tplc="B66607DA">
      <w:start w:val="1"/>
      <w:numFmt w:val="decimal"/>
      <w:pStyle w:val="AElencoNumerato"/>
      <w:lvlText w:val="%1."/>
      <w:lvlJc w:val="left"/>
      <w:pPr>
        <w:tabs>
          <w:tab w:val="num" w:pos="340"/>
        </w:tabs>
        <w:ind w:left="624" w:hanging="284"/>
      </w:pPr>
      <w:rPr>
        <w:rFonts w:hint="default"/>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cs="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cs="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11">
    <w:nsid w:val="3E883191"/>
    <w:multiLevelType w:val="multilevel"/>
    <w:tmpl w:val="F79CD7E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i/>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42FA3035"/>
    <w:multiLevelType w:val="multilevel"/>
    <w:tmpl w:val="9A58900A"/>
    <w:lvl w:ilvl="0">
      <w:start w:val="1"/>
      <w:numFmt w:val="decimal"/>
      <w:lvlText w:val="%1."/>
      <w:lvlJc w:val="left"/>
      <w:pPr>
        <w:tabs>
          <w:tab w:val="num" w:pos="340"/>
        </w:tabs>
        <w:ind w:left="624" w:hanging="284"/>
      </w:pPr>
      <w:rPr>
        <w:rFonts w:hint="default"/>
      </w:rPr>
    </w:lvl>
    <w:lvl w:ilvl="1">
      <w:start w:val="1"/>
      <w:numFmt w:val="bullet"/>
      <w:lvlText w:val="o"/>
      <w:lvlJc w:val="left"/>
      <w:pPr>
        <w:tabs>
          <w:tab w:val="num" w:pos="1780"/>
        </w:tabs>
        <w:ind w:left="1780" w:hanging="360"/>
      </w:pPr>
      <w:rPr>
        <w:rFonts w:ascii="Courier New" w:hAnsi="Courier New" w:cs="Courier New" w:hint="default"/>
      </w:rPr>
    </w:lvl>
    <w:lvl w:ilvl="2">
      <w:start w:val="1"/>
      <w:numFmt w:val="bullet"/>
      <w:lvlText w:val=""/>
      <w:lvlJc w:val="left"/>
      <w:pPr>
        <w:tabs>
          <w:tab w:val="num" w:pos="2500"/>
        </w:tabs>
        <w:ind w:left="2500" w:hanging="360"/>
      </w:pPr>
      <w:rPr>
        <w:rFonts w:ascii="Wingdings" w:hAnsi="Wingdings" w:hint="default"/>
      </w:rPr>
    </w:lvl>
    <w:lvl w:ilvl="3">
      <w:start w:val="1"/>
      <w:numFmt w:val="bullet"/>
      <w:lvlText w:val=""/>
      <w:lvlJc w:val="left"/>
      <w:pPr>
        <w:tabs>
          <w:tab w:val="num" w:pos="3220"/>
        </w:tabs>
        <w:ind w:left="3220" w:hanging="360"/>
      </w:pPr>
      <w:rPr>
        <w:rFonts w:ascii="Symbol" w:hAnsi="Symbol" w:hint="default"/>
      </w:rPr>
    </w:lvl>
    <w:lvl w:ilvl="4">
      <w:start w:val="1"/>
      <w:numFmt w:val="bullet"/>
      <w:lvlText w:val="o"/>
      <w:lvlJc w:val="left"/>
      <w:pPr>
        <w:tabs>
          <w:tab w:val="num" w:pos="3940"/>
        </w:tabs>
        <w:ind w:left="3940" w:hanging="360"/>
      </w:pPr>
      <w:rPr>
        <w:rFonts w:ascii="Courier New" w:hAnsi="Courier New" w:cs="Courier New" w:hint="default"/>
      </w:rPr>
    </w:lvl>
    <w:lvl w:ilvl="5">
      <w:start w:val="1"/>
      <w:numFmt w:val="bullet"/>
      <w:lvlText w:val=""/>
      <w:lvlJc w:val="left"/>
      <w:pPr>
        <w:tabs>
          <w:tab w:val="num" w:pos="4660"/>
        </w:tabs>
        <w:ind w:left="4660" w:hanging="360"/>
      </w:pPr>
      <w:rPr>
        <w:rFonts w:ascii="Wingdings" w:hAnsi="Wingdings" w:hint="default"/>
      </w:rPr>
    </w:lvl>
    <w:lvl w:ilvl="6">
      <w:start w:val="1"/>
      <w:numFmt w:val="bullet"/>
      <w:lvlText w:val=""/>
      <w:lvlJc w:val="left"/>
      <w:pPr>
        <w:tabs>
          <w:tab w:val="num" w:pos="5380"/>
        </w:tabs>
        <w:ind w:left="5380" w:hanging="360"/>
      </w:pPr>
      <w:rPr>
        <w:rFonts w:ascii="Symbol" w:hAnsi="Symbol" w:hint="default"/>
      </w:rPr>
    </w:lvl>
    <w:lvl w:ilvl="7">
      <w:start w:val="1"/>
      <w:numFmt w:val="bullet"/>
      <w:lvlText w:val="o"/>
      <w:lvlJc w:val="left"/>
      <w:pPr>
        <w:tabs>
          <w:tab w:val="num" w:pos="6100"/>
        </w:tabs>
        <w:ind w:left="6100" w:hanging="360"/>
      </w:pPr>
      <w:rPr>
        <w:rFonts w:ascii="Courier New" w:hAnsi="Courier New" w:cs="Courier New" w:hint="default"/>
      </w:rPr>
    </w:lvl>
    <w:lvl w:ilvl="8">
      <w:start w:val="1"/>
      <w:numFmt w:val="bullet"/>
      <w:lvlText w:val=""/>
      <w:lvlJc w:val="left"/>
      <w:pPr>
        <w:tabs>
          <w:tab w:val="num" w:pos="6820"/>
        </w:tabs>
        <w:ind w:left="6820" w:hanging="360"/>
      </w:pPr>
      <w:rPr>
        <w:rFonts w:ascii="Wingdings" w:hAnsi="Wingdings" w:hint="default"/>
      </w:rPr>
    </w:lvl>
  </w:abstractNum>
  <w:abstractNum w:abstractNumId="13">
    <w:nsid w:val="45A21198"/>
    <w:multiLevelType w:val="multilevel"/>
    <w:tmpl w:val="7122BEE8"/>
    <w:lvl w:ilvl="0">
      <w:start w:val="1"/>
      <w:numFmt w:val="decimal"/>
      <w:pStyle w:val="ASottotitoloNumerato"/>
      <w:lvlText w:val="%1."/>
      <w:lvlJc w:val="left"/>
      <w:pPr>
        <w:tabs>
          <w:tab w:val="num" w:pos="360"/>
        </w:tabs>
        <w:ind w:left="360" w:hanging="360"/>
      </w:pPr>
      <w:rPr>
        <w:rFonts w:hint="default"/>
      </w:rPr>
    </w:lvl>
    <w:lvl w:ilvl="1">
      <w:start w:val="1"/>
      <w:numFmt w:val="decimal"/>
      <w:pStyle w:val="ASottoSottotitolo"/>
      <w:lvlText w:val="%1.%2."/>
      <w:lvlJc w:val="left"/>
      <w:pPr>
        <w:tabs>
          <w:tab w:val="num" w:pos="792"/>
        </w:tabs>
        <w:ind w:left="792" w:hanging="432"/>
      </w:pPr>
      <w:rPr>
        <w:rFonts w:hint="default"/>
        <w:b/>
        <w:i/>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nsid w:val="51DC26CB"/>
    <w:multiLevelType w:val="multilevel"/>
    <w:tmpl w:val="751E9B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52CB7AA1"/>
    <w:multiLevelType w:val="hybridMultilevel"/>
    <w:tmpl w:val="51D84170"/>
    <w:lvl w:ilvl="0" w:tplc="B66607DA">
      <w:start w:val="1"/>
      <w:numFmt w:val="decimal"/>
      <w:lvlText w:val="%1."/>
      <w:lvlJc w:val="left"/>
      <w:pPr>
        <w:tabs>
          <w:tab w:val="num" w:pos="340"/>
        </w:tabs>
        <w:ind w:left="624" w:hanging="284"/>
      </w:pPr>
      <w:rPr>
        <w:rFont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nsid w:val="5ADC63B7"/>
    <w:multiLevelType w:val="multilevel"/>
    <w:tmpl w:val="751E9B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5DE67892"/>
    <w:multiLevelType w:val="hybridMultilevel"/>
    <w:tmpl w:val="5A5C164C"/>
    <w:lvl w:ilvl="0" w:tplc="FD9A9068">
      <w:start w:val="1"/>
      <w:numFmt w:val="decimal"/>
      <w:lvlText w:val="%1."/>
      <w:lvlJc w:val="left"/>
      <w:pPr>
        <w:ind w:left="645" w:hanging="360"/>
      </w:pPr>
      <w:rPr>
        <w:rFonts w:hint="default"/>
      </w:rPr>
    </w:lvl>
    <w:lvl w:ilvl="1" w:tplc="04100019" w:tentative="1">
      <w:start w:val="1"/>
      <w:numFmt w:val="lowerLetter"/>
      <w:lvlText w:val="%2."/>
      <w:lvlJc w:val="left"/>
      <w:pPr>
        <w:ind w:left="1365" w:hanging="360"/>
      </w:pPr>
    </w:lvl>
    <w:lvl w:ilvl="2" w:tplc="0410001B" w:tentative="1">
      <w:start w:val="1"/>
      <w:numFmt w:val="lowerRoman"/>
      <w:lvlText w:val="%3."/>
      <w:lvlJc w:val="right"/>
      <w:pPr>
        <w:ind w:left="2085" w:hanging="180"/>
      </w:pPr>
    </w:lvl>
    <w:lvl w:ilvl="3" w:tplc="0410000F" w:tentative="1">
      <w:start w:val="1"/>
      <w:numFmt w:val="decimal"/>
      <w:lvlText w:val="%4."/>
      <w:lvlJc w:val="left"/>
      <w:pPr>
        <w:ind w:left="2805" w:hanging="360"/>
      </w:pPr>
    </w:lvl>
    <w:lvl w:ilvl="4" w:tplc="04100019" w:tentative="1">
      <w:start w:val="1"/>
      <w:numFmt w:val="lowerLetter"/>
      <w:lvlText w:val="%5."/>
      <w:lvlJc w:val="left"/>
      <w:pPr>
        <w:ind w:left="3525" w:hanging="360"/>
      </w:pPr>
    </w:lvl>
    <w:lvl w:ilvl="5" w:tplc="0410001B" w:tentative="1">
      <w:start w:val="1"/>
      <w:numFmt w:val="lowerRoman"/>
      <w:lvlText w:val="%6."/>
      <w:lvlJc w:val="right"/>
      <w:pPr>
        <w:ind w:left="4245" w:hanging="180"/>
      </w:pPr>
    </w:lvl>
    <w:lvl w:ilvl="6" w:tplc="0410000F" w:tentative="1">
      <w:start w:val="1"/>
      <w:numFmt w:val="decimal"/>
      <w:lvlText w:val="%7."/>
      <w:lvlJc w:val="left"/>
      <w:pPr>
        <w:ind w:left="4965" w:hanging="360"/>
      </w:pPr>
    </w:lvl>
    <w:lvl w:ilvl="7" w:tplc="04100019" w:tentative="1">
      <w:start w:val="1"/>
      <w:numFmt w:val="lowerLetter"/>
      <w:lvlText w:val="%8."/>
      <w:lvlJc w:val="left"/>
      <w:pPr>
        <w:ind w:left="5685" w:hanging="360"/>
      </w:pPr>
    </w:lvl>
    <w:lvl w:ilvl="8" w:tplc="0410001B" w:tentative="1">
      <w:start w:val="1"/>
      <w:numFmt w:val="lowerRoman"/>
      <w:lvlText w:val="%9."/>
      <w:lvlJc w:val="right"/>
      <w:pPr>
        <w:ind w:left="6405" w:hanging="180"/>
      </w:pPr>
    </w:lvl>
  </w:abstractNum>
  <w:abstractNum w:abstractNumId="18">
    <w:nsid w:val="736B1072"/>
    <w:multiLevelType w:val="hybridMultilevel"/>
    <w:tmpl w:val="C2A6E11C"/>
    <w:lvl w:ilvl="0" w:tplc="7C66EAC2">
      <w:start w:val="1"/>
      <w:numFmt w:val="bullet"/>
      <w:lvlText w:val=""/>
      <w:lvlJc w:val="left"/>
      <w:pPr>
        <w:tabs>
          <w:tab w:val="num" w:pos="340"/>
        </w:tabs>
        <w:ind w:left="624" w:hanging="284"/>
      </w:pPr>
      <w:rPr>
        <w:rFonts w:ascii="Symbol" w:hAnsi="Symbol" w:hint="default"/>
      </w:rPr>
    </w:lvl>
    <w:lvl w:ilvl="1" w:tplc="04100003" w:tentative="1">
      <w:start w:val="1"/>
      <w:numFmt w:val="bullet"/>
      <w:lvlText w:val="o"/>
      <w:lvlJc w:val="left"/>
      <w:pPr>
        <w:tabs>
          <w:tab w:val="num" w:pos="1780"/>
        </w:tabs>
        <w:ind w:left="1780" w:hanging="360"/>
      </w:pPr>
      <w:rPr>
        <w:rFonts w:ascii="Courier New" w:hAnsi="Courier New" w:cs="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cs="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cs="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19">
    <w:nsid w:val="746E7DBB"/>
    <w:multiLevelType w:val="multilevel"/>
    <w:tmpl w:val="95B81822"/>
    <w:lvl w:ilvl="0">
      <w:start w:val="1"/>
      <w:numFmt w:val="decimal"/>
      <w:lvlText w:val="%1."/>
      <w:lvlJc w:val="left"/>
      <w:pPr>
        <w:tabs>
          <w:tab w:val="num" w:pos="340"/>
        </w:tabs>
        <w:ind w:left="624" w:hanging="284"/>
      </w:pPr>
      <w:rPr>
        <w:rFonts w:hint="default"/>
      </w:rPr>
    </w:lvl>
    <w:lvl w:ilvl="1">
      <w:start w:val="1"/>
      <w:numFmt w:val="bullet"/>
      <w:lvlText w:val="o"/>
      <w:lvlJc w:val="left"/>
      <w:pPr>
        <w:tabs>
          <w:tab w:val="num" w:pos="1780"/>
        </w:tabs>
        <w:ind w:left="1780" w:hanging="360"/>
      </w:pPr>
      <w:rPr>
        <w:rFonts w:ascii="Courier New" w:hAnsi="Courier New" w:cs="Courier New" w:hint="default"/>
      </w:rPr>
    </w:lvl>
    <w:lvl w:ilvl="2">
      <w:start w:val="1"/>
      <w:numFmt w:val="bullet"/>
      <w:lvlText w:val=""/>
      <w:lvlJc w:val="left"/>
      <w:pPr>
        <w:tabs>
          <w:tab w:val="num" w:pos="2500"/>
        </w:tabs>
        <w:ind w:left="2500" w:hanging="360"/>
      </w:pPr>
      <w:rPr>
        <w:rFonts w:ascii="Wingdings" w:hAnsi="Wingdings" w:hint="default"/>
      </w:rPr>
    </w:lvl>
    <w:lvl w:ilvl="3">
      <w:start w:val="1"/>
      <w:numFmt w:val="bullet"/>
      <w:lvlText w:val=""/>
      <w:lvlJc w:val="left"/>
      <w:pPr>
        <w:tabs>
          <w:tab w:val="num" w:pos="3220"/>
        </w:tabs>
        <w:ind w:left="3220" w:hanging="360"/>
      </w:pPr>
      <w:rPr>
        <w:rFonts w:ascii="Symbol" w:hAnsi="Symbol" w:hint="default"/>
      </w:rPr>
    </w:lvl>
    <w:lvl w:ilvl="4">
      <w:start w:val="1"/>
      <w:numFmt w:val="bullet"/>
      <w:lvlText w:val="o"/>
      <w:lvlJc w:val="left"/>
      <w:pPr>
        <w:tabs>
          <w:tab w:val="num" w:pos="3940"/>
        </w:tabs>
        <w:ind w:left="3940" w:hanging="360"/>
      </w:pPr>
      <w:rPr>
        <w:rFonts w:ascii="Courier New" w:hAnsi="Courier New" w:cs="Courier New" w:hint="default"/>
      </w:rPr>
    </w:lvl>
    <w:lvl w:ilvl="5">
      <w:start w:val="1"/>
      <w:numFmt w:val="bullet"/>
      <w:lvlText w:val=""/>
      <w:lvlJc w:val="left"/>
      <w:pPr>
        <w:tabs>
          <w:tab w:val="num" w:pos="4660"/>
        </w:tabs>
        <w:ind w:left="4660" w:hanging="360"/>
      </w:pPr>
      <w:rPr>
        <w:rFonts w:ascii="Wingdings" w:hAnsi="Wingdings" w:hint="default"/>
      </w:rPr>
    </w:lvl>
    <w:lvl w:ilvl="6">
      <w:start w:val="1"/>
      <w:numFmt w:val="bullet"/>
      <w:lvlText w:val=""/>
      <w:lvlJc w:val="left"/>
      <w:pPr>
        <w:tabs>
          <w:tab w:val="num" w:pos="5380"/>
        </w:tabs>
        <w:ind w:left="5380" w:hanging="360"/>
      </w:pPr>
      <w:rPr>
        <w:rFonts w:ascii="Symbol" w:hAnsi="Symbol" w:hint="default"/>
      </w:rPr>
    </w:lvl>
    <w:lvl w:ilvl="7">
      <w:start w:val="1"/>
      <w:numFmt w:val="bullet"/>
      <w:lvlText w:val="o"/>
      <w:lvlJc w:val="left"/>
      <w:pPr>
        <w:tabs>
          <w:tab w:val="num" w:pos="6100"/>
        </w:tabs>
        <w:ind w:left="6100" w:hanging="360"/>
      </w:pPr>
      <w:rPr>
        <w:rFonts w:ascii="Courier New" w:hAnsi="Courier New" w:cs="Courier New" w:hint="default"/>
      </w:rPr>
    </w:lvl>
    <w:lvl w:ilvl="8">
      <w:start w:val="1"/>
      <w:numFmt w:val="bullet"/>
      <w:lvlText w:val=""/>
      <w:lvlJc w:val="left"/>
      <w:pPr>
        <w:tabs>
          <w:tab w:val="num" w:pos="6820"/>
        </w:tabs>
        <w:ind w:left="6820" w:hanging="360"/>
      </w:pPr>
      <w:rPr>
        <w:rFonts w:ascii="Wingdings" w:hAnsi="Wingdings" w:hint="default"/>
      </w:rPr>
    </w:lvl>
  </w:abstractNum>
  <w:abstractNum w:abstractNumId="20">
    <w:nsid w:val="76783CAF"/>
    <w:multiLevelType w:val="multilevel"/>
    <w:tmpl w:val="349EE24A"/>
    <w:lvl w:ilvl="0">
      <w:start w:val="1"/>
      <w:numFmt w:val="decimal"/>
      <w:lvlText w:val="%1."/>
      <w:lvlJc w:val="left"/>
      <w:pPr>
        <w:tabs>
          <w:tab w:val="num" w:pos="340"/>
        </w:tabs>
        <w:ind w:left="624" w:hanging="284"/>
      </w:pPr>
      <w:rPr>
        <w:rFonts w:hint="default"/>
      </w:rPr>
    </w:lvl>
    <w:lvl w:ilvl="1">
      <w:start w:val="1"/>
      <w:numFmt w:val="bullet"/>
      <w:lvlText w:val="o"/>
      <w:lvlJc w:val="left"/>
      <w:pPr>
        <w:tabs>
          <w:tab w:val="num" w:pos="1780"/>
        </w:tabs>
        <w:ind w:left="1780" w:hanging="360"/>
      </w:pPr>
      <w:rPr>
        <w:rFonts w:ascii="Courier New" w:hAnsi="Courier New" w:cs="Courier New" w:hint="default"/>
      </w:rPr>
    </w:lvl>
    <w:lvl w:ilvl="2">
      <w:start w:val="1"/>
      <w:numFmt w:val="bullet"/>
      <w:lvlText w:val=""/>
      <w:lvlJc w:val="left"/>
      <w:pPr>
        <w:tabs>
          <w:tab w:val="num" w:pos="2500"/>
        </w:tabs>
        <w:ind w:left="2500" w:hanging="360"/>
      </w:pPr>
      <w:rPr>
        <w:rFonts w:ascii="Wingdings" w:hAnsi="Wingdings" w:hint="default"/>
      </w:rPr>
    </w:lvl>
    <w:lvl w:ilvl="3">
      <w:start w:val="1"/>
      <w:numFmt w:val="bullet"/>
      <w:lvlText w:val=""/>
      <w:lvlJc w:val="left"/>
      <w:pPr>
        <w:tabs>
          <w:tab w:val="num" w:pos="3220"/>
        </w:tabs>
        <w:ind w:left="3220" w:hanging="360"/>
      </w:pPr>
      <w:rPr>
        <w:rFonts w:ascii="Symbol" w:hAnsi="Symbol" w:hint="default"/>
      </w:rPr>
    </w:lvl>
    <w:lvl w:ilvl="4">
      <w:start w:val="1"/>
      <w:numFmt w:val="bullet"/>
      <w:lvlText w:val="o"/>
      <w:lvlJc w:val="left"/>
      <w:pPr>
        <w:tabs>
          <w:tab w:val="num" w:pos="3940"/>
        </w:tabs>
        <w:ind w:left="3940" w:hanging="360"/>
      </w:pPr>
      <w:rPr>
        <w:rFonts w:ascii="Courier New" w:hAnsi="Courier New" w:cs="Courier New" w:hint="default"/>
      </w:rPr>
    </w:lvl>
    <w:lvl w:ilvl="5">
      <w:start w:val="1"/>
      <w:numFmt w:val="bullet"/>
      <w:lvlText w:val=""/>
      <w:lvlJc w:val="left"/>
      <w:pPr>
        <w:tabs>
          <w:tab w:val="num" w:pos="4660"/>
        </w:tabs>
        <w:ind w:left="4660" w:hanging="360"/>
      </w:pPr>
      <w:rPr>
        <w:rFonts w:ascii="Wingdings" w:hAnsi="Wingdings" w:hint="default"/>
      </w:rPr>
    </w:lvl>
    <w:lvl w:ilvl="6">
      <w:start w:val="1"/>
      <w:numFmt w:val="bullet"/>
      <w:lvlText w:val=""/>
      <w:lvlJc w:val="left"/>
      <w:pPr>
        <w:tabs>
          <w:tab w:val="num" w:pos="5380"/>
        </w:tabs>
        <w:ind w:left="5380" w:hanging="360"/>
      </w:pPr>
      <w:rPr>
        <w:rFonts w:ascii="Symbol" w:hAnsi="Symbol" w:hint="default"/>
      </w:rPr>
    </w:lvl>
    <w:lvl w:ilvl="7">
      <w:start w:val="1"/>
      <w:numFmt w:val="bullet"/>
      <w:lvlText w:val="o"/>
      <w:lvlJc w:val="left"/>
      <w:pPr>
        <w:tabs>
          <w:tab w:val="num" w:pos="6100"/>
        </w:tabs>
        <w:ind w:left="6100" w:hanging="360"/>
      </w:pPr>
      <w:rPr>
        <w:rFonts w:ascii="Courier New" w:hAnsi="Courier New" w:cs="Courier New" w:hint="default"/>
      </w:rPr>
    </w:lvl>
    <w:lvl w:ilvl="8">
      <w:start w:val="1"/>
      <w:numFmt w:val="bullet"/>
      <w:lvlText w:val=""/>
      <w:lvlJc w:val="left"/>
      <w:pPr>
        <w:tabs>
          <w:tab w:val="num" w:pos="6820"/>
        </w:tabs>
        <w:ind w:left="6820" w:hanging="360"/>
      </w:pPr>
      <w:rPr>
        <w:rFonts w:ascii="Wingdings" w:hAnsi="Wingdings" w:hint="default"/>
      </w:rPr>
    </w:lvl>
  </w:abstractNum>
  <w:abstractNum w:abstractNumId="21">
    <w:nsid w:val="79C30A7C"/>
    <w:multiLevelType w:val="multilevel"/>
    <w:tmpl w:val="7122BEE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i/>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7B402B3B"/>
    <w:multiLevelType w:val="multilevel"/>
    <w:tmpl w:val="FD9285EE"/>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nsid w:val="7CA92580"/>
    <w:multiLevelType w:val="multilevel"/>
    <w:tmpl w:val="95B81822"/>
    <w:lvl w:ilvl="0">
      <w:start w:val="1"/>
      <w:numFmt w:val="decimal"/>
      <w:lvlText w:val="%1."/>
      <w:lvlJc w:val="left"/>
      <w:pPr>
        <w:tabs>
          <w:tab w:val="num" w:pos="340"/>
        </w:tabs>
        <w:ind w:left="624" w:hanging="284"/>
      </w:pPr>
      <w:rPr>
        <w:rFonts w:hint="default"/>
      </w:rPr>
    </w:lvl>
    <w:lvl w:ilvl="1">
      <w:start w:val="1"/>
      <w:numFmt w:val="bullet"/>
      <w:lvlText w:val="o"/>
      <w:lvlJc w:val="left"/>
      <w:pPr>
        <w:tabs>
          <w:tab w:val="num" w:pos="1780"/>
        </w:tabs>
        <w:ind w:left="1780" w:hanging="360"/>
      </w:pPr>
      <w:rPr>
        <w:rFonts w:ascii="Courier New" w:hAnsi="Courier New" w:cs="Courier New" w:hint="default"/>
      </w:rPr>
    </w:lvl>
    <w:lvl w:ilvl="2">
      <w:start w:val="1"/>
      <w:numFmt w:val="bullet"/>
      <w:lvlText w:val=""/>
      <w:lvlJc w:val="left"/>
      <w:pPr>
        <w:tabs>
          <w:tab w:val="num" w:pos="2500"/>
        </w:tabs>
        <w:ind w:left="2500" w:hanging="360"/>
      </w:pPr>
      <w:rPr>
        <w:rFonts w:ascii="Wingdings" w:hAnsi="Wingdings" w:hint="default"/>
      </w:rPr>
    </w:lvl>
    <w:lvl w:ilvl="3">
      <w:start w:val="1"/>
      <w:numFmt w:val="bullet"/>
      <w:lvlText w:val=""/>
      <w:lvlJc w:val="left"/>
      <w:pPr>
        <w:tabs>
          <w:tab w:val="num" w:pos="3220"/>
        </w:tabs>
        <w:ind w:left="3220" w:hanging="360"/>
      </w:pPr>
      <w:rPr>
        <w:rFonts w:ascii="Symbol" w:hAnsi="Symbol" w:hint="default"/>
      </w:rPr>
    </w:lvl>
    <w:lvl w:ilvl="4">
      <w:start w:val="1"/>
      <w:numFmt w:val="bullet"/>
      <w:lvlText w:val="o"/>
      <w:lvlJc w:val="left"/>
      <w:pPr>
        <w:tabs>
          <w:tab w:val="num" w:pos="3940"/>
        </w:tabs>
        <w:ind w:left="3940" w:hanging="360"/>
      </w:pPr>
      <w:rPr>
        <w:rFonts w:ascii="Courier New" w:hAnsi="Courier New" w:cs="Courier New" w:hint="default"/>
      </w:rPr>
    </w:lvl>
    <w:lvl w:ilvl="5">
      <w:start w:val="1"/>
      <w:numFmt w:val="bullet"/>
      <w:lvlText w:val=""/>
      <w:lvlJc w:val="left"/>
      <w:pPr>
        <w:tabs>
          <w:tab w:val="num" w:pos="4660"/>
        </w:tabs>
        <w:ind w:left="4660" w:hanging="360"/>
      </w:pPr>
      <w:rPr>
        <w:rFonts w:ascii="Wingdings" w:hAnsi="Wingdings" w:hint="default"/>
      </w:rPr>
    </w:lvl>
    <w:lvl w:ilvl="6">
      <w:start w:val="1"/>
      <w:numFmt w:val="bullet"/>
      <w:lvlText w:val=""/>
      <w:lvlJc w:val="left"/>
      <w:pPr>
        <w:tabs>
          <w:tab w:val="num" w:pos="5380"/>
        </w:tabs>
        <w:ind w:left="5380" w:hanging="360"/>
      </w:pPr>
      <w:rPr>
        <w:rFonts w:ascii="Symbol" w:hAnsi="Symbol" w:hint="default"/>
      </w:rPr>
    </w:lvl>
    <w:lvl w:ilvl="7">
      <w:start w:val="1"/>
      <w:numFmt w:val="bullet"/>
      <w:lvlText w:val="o"/>
      <w:lvlJc w:val="left"/>
      <w:pPr>
        <w:tabs>
          <w:tab w:val="num" w:pos="6100"/>
        </w:tabs>
        <w:ind w:left="6100" w:hanging="360"/>
      </w:pPr>
      <w:rPr>
        <w:rFonts w:ascii="Courier New" w:hAnsi="Courier New" w:cs="Courier New" w:hint="default"/>
      </w:rPr>
    </w:lvl>
    <w:lvl w:ilvl="8">
      <w:start w:val="1"/>
      <w:numFmt w:val="bullet"/>
      <w:lvlText w:val=""/>
      <w:lvlJc w:val="left"/>
      <w:pPr>
        <w:tabs>
          <w:tab w:val="num" w:pos="6820"/>
        </w:tabs>
        <w:ind w:left="6820" w:hanging="360"/>
      </w:pPr>
      <w:rPr>
        <w:rFonts w:ascii="Wingdings" w:hAnsi="Wingdings" w:hint="default"/>
      </w:rPr>
    </w:lvl>
  </w:abstractNum>
  <w:num w:numId="1">
    <w:abstractNumId w:val="0"/>
  </w:num>
  <w:num w:numId="2">
    <w:abstractNumId w:val="4"/>
  </w:num>
  <w:num w:numId="3">
    <w:abstractNumId w:val="18"/>
  </w:num>
  <w:num w:numId="4">
    <w:abstractNumId w:val="6"/>
  </w:num>
  <w:num w:numId="5">
    <w:abstractNumId w:val="10"/>
  </w:num>
  <w:num w:numId="6">
    <w:abstractNumId w:val="15"/>
  </w:num>
  <w:num w:numId="7">
    <w:abstractNumId w:val="8"/>
  </w:num>
  <w:num w:numId="8">
    <w:abstractNumId w:val="19"/>
  </w:num>
  <w:num w:numId="9">
    <w:abstractNumId w:val="23"/>
  </w:num>
  <w:num w:numId="10">
    <w:abstractNumId w:val="10"/>
    <w:lvlOverride w:ilvl="0">
      <w:startOverride w:val="1"/>
    </w:lvlOverride>
  </w:num>
  <w:num w:numId="11">
    <w:abstractNumId w:val="12"/>
  </w:num>
  <w:num w:numId="12">
    <w:abstractNumId w:val="10"/>
  </w:num>
  <w:num w:numId="13">
    <w:abstractNumId w:val="20"/>
  </w:num>
  <w:num w:numId="14">
    <w:abstractNumId w:val="10"/>
    <w:lvlOverride w:ilvl="0">
      <w:startOverride w:val="1"/>
    </w:lvlOverride>
  </w:num>
  <w:num w:numId="15">
    <w:abstractNumId w:val="5"/>
  </w:num>
  <w:num w:numId="16">
    <w:abstractNumId w:val="3"/>
  </w:num>
  <w:num w:numId="17">
    <w:abstractNumId w:val="1"/>
  </w:num>
  <w:num w:numId="18">
    <w:abstractNumId w:val="17"/>
  </w:num>
  <w:num w:numId="19">
    <w:abstractNumId w:val="13"/>
  </w:num>
  <w:num w:numId="20">
    <w:abstractNumId w:val="22"/>
  </w:num>
  <w:num w:numId="21">
    <w:abstractNumId w:val="16"/>
  </w:num>
  <w:num w:numId="22">
    <w:abstractNumId w:val="14"/>
  </w:num>
  <w:num w:numId="23">
    <w:abstractNumId w:val="7"/>
  </w:num>
  <w:num w:numId="24">
    <w:abstractNumId w:val="11"/>
  </w:num>
  <w:num w:numId="25">
    <w:abstractNumId w:val="10"/>
  </w:num>
  <w:num w:numId="26">
    <w:abstractNumId w:val="2"/>
  </w:num>
  <w:num w:numId="27">
    <w:abstractNumId w:val="21"/>
  </w:num>
  <w:num w:numId="28">
    <w:abstractNumId w:val="9"/>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embedSystemFonts/>
  <w:mirrorMargins/>
  <w:proofState w:spelling="clean"/>
  <w:stylePaneFormatFilter w:val="3001"/>
  <w:defaultTabStop w:val="709"/>
  <w:autoHyphenation/>
  <w:hyphenationZone w:val="357"/>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3074">
      <v:stroke weight=".25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compat>
  <w:rsids>
    <w:rsidRoot w:val="00C95534"/>
    <w:rsid w:val="000025C3"/>
    <w:rsid w:val="0001118A"/>
    <w:rsid w:val="00015B8A"/>
    <w:rsid w:val="00024F4F"/>
    <w:rsid w:val="00030D98"/>
    <w:rsid w:val="000338BF"/>
    <w:rsid w:val="00045C54"/>
    <w:rsid w:val="00060976"/>
    <w:rsid w:val="00067B91"/>
    <w:rsid w:val="00077890"/>
    <w:rsid w:val="00087CB8"/>
    <w:rsid w:val="00092FDE"/>
    <w:rsid w:val="00095981"/>
    <w:rsid w:val="000A2318"/>
    <w:rsid w:val="000A4835"/>
    <w:rsid w:val="000A6BA0"/>
    <w:rsid w:val="000B2025"/>
    <w:rsid w:val="000B7107"/>
    <w:rsid w:val="000B79CF"/>
    <w:rsid w:val="000C5746"/>
    <w:rsid w:val="000D0DC1"/>
    <w:rsid w:val="000D1D80"/>
    <w:rsid w:val="000D4631"/>
    <w:rsid w:val="000D702E"/>
    <w:rsid w:val="000D7534"/>
    <w:rsid w:val="00105CBA"/>
    <w:rsid w:val="00114729"/>
    <w:rsid w:val="00123A5D"/>
    <w:rsid w:val="00124F66"/>
    <w:rsid w:val="00125B50"/>
    <w:rsid w:val="00135B7D"/>
    <w:rsid w:val="00143F17"/>
    <w:rsid w:val="0015077F"/>
    <w:rsid w:val="00156364"/>
    <w:rsid w:val="00164B90"/>
    <w:rsid w:val="00165841"/>
    <w:rsid w:val="00166896"/>
    <w:rsid w:val="00173F46"/>
    <w:rsid w:val="00183ED7"/>
    <w:rsid w:val="001915CE"/>
    <w:rsid w:val="00195F78"/>
    <w:rsid w:val="001A18FD"/>
    <w:rsid w:val="001A1F5E"/>
    <w:rsid w:val="00207FAA"/>
    <w:rsid w:val="00213443"/>
    <w:rsid w:val="0022152D"/>
    <w:rsid w:val="00221D6A"/>
    <w:rsid w:val="0023281E"/>
    <w:rsid w:val="00233EA7"/>
    <w:rsid w:val="00236CB4"/>
    <w:rsid w:val="00241373"/>
    <w:rsid w:val="002508E4"/>
    <w:rsid w:val="00277341"/>
    <w:rsid w:val="002951FE"/>
    <w:rsid w:val="002B0334"/>
    <w:rsid w:val="002B2BF1"/>
    <w:rsid w:val="002B3DCD"/>
    <w:rsid w:val="002C6867"/>
    <w:rsid w:val="002D42A4"/>
    <w:rsid w:val="002F3D98"/>
    <w:rsid w:val="00330717"/>
    <w:rsid w:val="00330AF6"/>
    <w:rsid w:val="00342645"/>
    <w:rsid w:val="00353528"/>
    <w:rsid w:val="00370202"/>
    <w:rsid w:val="003742D8"/>
    <w:rsid w:val="00380415"/>
    <w:rsid w:val="00380A0D"/>
    <w:rsid w:val="003859FF"/>
    <w:rsid w:val="00385CE0"/>
    <w:rsid w:val="00391CC4"/>
    <w:rsid w:val="00392CC3"/>
    <w:rsid w:val="00394AC0"/>
    <w:rsid w:val="003A7132"/>
    <w:rsid w:val="003B00CA"/>
    <w:rsid w:val="003B06C6"/>
    <w:rsid w:val="003B47D7"/>
    <w:rsid w:val="003C46EA"/>
    <w:rsid w:val="003C4BCB"/>
    <w:rsid w:val="003D1359"/>
    <w:rsid w:val="003D57DA"/>
    <w:rsid w:val="003E3400"/>
    <w:rsid w:val="003E4077"/>
    <w:rsid w:val="003E6536"/>
    <w:rsid w:val="003E7441"/>
    <w:rsid w:val="0041251E"/>
    <w:rsid w:val="00414B3A"/>
    <w:rsid w:val="00414F68"/>
    <w:rsid w:val="004207F8"/>
    <w:rsid w:val="00422842"/>
    <w:rsid w:val="00425A94"/>
    <w:rsid w:val="004278C4"/>
    <w:rsid w:val="0043722A"/>
    <w:rsid w:val="00443E5A"/>
    <w:rsid w:val="00460515"/>
    <w:rsid w:val="00463E2C"/>
    <w:rsid w:val="0046590C"/>
    <w:rsid w:val="00470383"/>
    <w:rsid w:val="00470D91"/>
    <w:rsid w:val="00477E9D"/>
    <w:rsid w:val="00482516"/>
    <w:rsid w:val="004A56DA"/>
    <w:rsid w:val="004B30D7"/>
    <w:rsid w:val="004B47D6"/>
    <w:rsid w:val="004D1DFA"/>
    <w:rsid w:val="004E19A8"/>
    <w:rsid w:val="004E2E96"/>
    <w:rsid w:val="004E38F7"/>
    <w:rsid w:val="004F45E2"/>
    <w:rsid w:val="004F6B58"/>
    <w:rsid w:val="005012BA"/>
    <w:rsid w:val="00504DE7"/>
    <w:rsid w:val="00515123"/>
    <w:rsid w:val="0053437C"/>
    <w:rsid w:val="00534CE9"/>
    <w:rsid w:val="00537BFC"/>
    <w:rsid w:val="00583D68"/>
    <w:rsid w:val="0058628A"/>
    <w:rsid w:val="005943D1"/>
    <w:rsid w:val="005A2A2D"/>
    <w:rsid w:val="005A5767"/>
    <w:rsid w:val="005B252E"/>
    <w:rsid w:val="005B4ED6"/>
    <w:rsid w:val="005B7C49"/>
    <w:rsid w:val="005C3518"/>
    <w:rsid w:val="005C4253"/>
    <w:rsid w:val="005C7417"/>
    <w:rsid w:val="005D0850"/>
    <w:rsid w:val="005D21B2"/>
    <w:rsid w:val="005D3819"/>
    <w:rsid w:val="005D763F"/>
    <w:rsid w:val="005E1CF4"/>
    <w:rsid w:val="005E39EB"/>
    <w:rsid w:val="006014B6"/>
    <w:rsid w:val="00614E15"/>
    <w:rsid w:val="00626DB1"/>
    <w:rsid w:val="006324C8"/>
    <w:rsid w:val="00633598"/>
    <w:rsid w:val="006361A2"/>
    <w:rsid w:val="00645B5B"/>
    <w:rsid w:val="00653C9B"/>
    <w:rsid w:val="006632EF"/>
    <w:rsid w:val="006651A8"/>
    <w:rsid w:val="00670E7F"/>
    <w:rsid w:val="00671326"/>
    <w:rsid w:val="0068097E"/>
    <w:rsid w:val="00680A09"/>
    <w:rsid w:val="006B0207"/>
    <w:rsid w:val="006B7582"/>
    <w:rsid w:val="006C03A6"/>
    <w:rsid w:val="006D7B5A"/>
    <w:rsid w:val="006E601F"/>
    <w:rsid w:val="006E6FC8"/>
    <w:rsid w:val="006E77F1"/>
    <w:rsid w:val="006F35A8"/>
    <w:rsid w:val="006F5ABE"/>
    <w:rsid w:val="006F5F77"/>
    <w:rsid w:val="00706D04"/>
    <w:rsid w:val="0071228E"/>
    <w:rsid w:val="00714C05"/>
    <w:rsid w:val="0071527E"/>
    <w:rsid w:val="00722DFE"/>
    <w:rsid w:val="007400FF"/>
    <w:rsid w:val="00745819"/>
    <w:rsid w:val="007460BD"/>
    <w:rsid w:val="007623F3"/>
    <w:rsid w:val="007640FC"/>
    <w:rsid w:val="00775D04"/>
    <w:rsid w:val="00776F17"/>
    <w:rsid w:val="00781320"/>
    <w:rsid w:val="007828E5"/>
    <w:rsid w:val="00784E06"/>
    <w:rsid w:val="007B2020"/>
    <w:rsid w:val="007B60B6"/>
    <w:rsid w:val="007D21B4"/>
    <w:rsid w:val="007D2CA8"/>
    <w:rsid w:val="007F0C74"/>
    <w:rsid w:val="007F58E6"/>
    <w:rsid w:val="00804DC6"/>
    <w:rsid w:val="00807A02"/>
    <w:rsid w:val="00813D72"/>
    <w:rsid w:val="00831472"/>
    <w:rsid w:val="00851E68"/>
    <w:rsid w:val="00870E88"/>
    <w:rsid w:val="008803F0"/>
    <w:rsid w:val="00891FDB"/>
    <w:rsid w:val="00892683"/>
    <w:rsid w:val="008B002F"/>
    <w:rsid w:val="008B3184"/>
    <w:rsid w:val="008D0451"/>
    <w:rsid w:val="008D2998"/>
    <w:rsid w:val="008D2F54"/>
    <w:rsid w:val="008D31A2"/>
    <w:rsid w:val="008E2CBF"/>
    <w:rsid w:val="008E2D4A"/>
    <w:rsid w:val="008E348F"/>
    <w:rsid w:val="008F2F1A"/>
    <w:rsid w:val="00910D9A"/>
    <w:rsid w:val="00917846"/>
    <w:rsid w:val="00927706"/>
    <w:rsid w:val="009321C5"/>
    <w:rsid w:val="00943FEC"/>
    <w:rsid w:val="00944BAC"/>
    <w:rsid w:val="0095741D"/>
    <w:rsid w:val="00961A7C"/>
    <w:rsid w:val="00974E3B"/>
    <w:rsid w:val="009753A6"/>
    <w:rsid w:val="00977903"/>
    <w:rsid w:val="009831D9"/>
    <w:rsid w:val="009A2735"/>
    <w:rsid w:val="009A4E93"/>
    <w:rsid w:val="009B4330"/>
    <w:rsid w:val="009B689A"/>
    <w:rsid w:val="009D617D"/>
    <w:rsid w:val="009E4C46"/>
    <w:rsid w:val="009F4F89"/>
    <w:rsid w:val="009F5BF6"/>
    <w:rsid w:val="00A15140"/>
    <w:rsid w:val="00A239CF"/>
    <w:rsid w:val="00A25309"/>
    <w:rsid w:val="00A4495B"/>
    <w:rsid w:val="00A46958"/>
    <w:rsid w:val="00A5201E"/>
    <w:rsid w:val="00A579A8"/>
    <w:rsid w:val="00A600B8"/>
    <w:rsid w:val="00A73FE4"/>
    <w:rsid w:val="00A7744D"/>
    <w:rsid w:val="00A925A8"/>
    <w:rsid w:val="00A939DF"/>
    <w:rsid w:val="00AA38C4"/>
    <w:rsid w:val="00AA7783"/>
    <w:rsid w:val="00AB1962"/>
    <w:rsid w:val="00AC3119"/>
    <w:rsid w:val="00AD5579"/>
    <w:rsid w:val="00AD7936"/>
    <w:rsid w:val="00AE1F12"/>
    <w:rsid w:val="00AE2E6B"/>
    <w:rsid w:val="00AE6C2C"/>
    <w:rsid w:val="00AF5D46"/>
    <w:rsid w:val="00B005D3"/>
    <w:rsid w:val="00B01516"/>
    <w:rsid w:val="00B23EC8"/>
    <w:rsid w:val="00B26136"/>
    <w:rsid w:val="00B361D3"/>
    <w:rsid w:val="00B43CD9"/>
    <w:rsid w:val="00B64ED5"/>
    <w:rsid w:val="00B65EB4"/>
    <w:rsid w:val="00B66BF8"/>
    <w:rsid w:val="00B70A98"/>
    <w:rsid w:val="00B7390C"/>
    <w:rsid w:val="00B75D6D"/>
    <w:rsid w:val="00B770A7"/>
    <w:rsid w:val="00B81988"/>
    <w:rsid w:val="00B85267"/>
    <w:rsid w:val="00BA0BC0"/>
    <w:rsid w:val="00BB4B55"/>
    <w:rsid w:val="00BC6F75"/>
    <w:rsid w:val="00BD217D"/>
    <w:rsid w:val="00BD3051"/>
    <w:rsid w:val="00BD321D"/>
    <w:rsid w:val="00BE60F3"/>
    <w:rsid w:val="00BF611B"/>
    <w:rsid w:val="00BF7248"/>
    <w:rsid w:val="00C12B14"/>
    <w:rsid w:val="00C1723F"/>
    <w:rsid w:val="00C25DAF"/>
    <w:rsid w:val="00C2642B"/>
    <w:rsid w:val="00C61A93"/>
    <w:rsid w:val="00C85624"/>
    <w:rsid w:val="00C911DC"/>
    <w:rsid w:val="00C925C6"/>
    <w:rsid w:val="00C941B3"/>
    <w:rsid w:val="00C95534"/>
    <w:rsid w:val="00CA20D5"/>
    <w:rsid w:val="00CA596D"/>
    <w:rsid w:val="00CB5F86"/>
    <w:rsid w:val="00CD28A4"/>
    <w:rsid w:val="00CE102E"/>
    <w:rsid w:val="00CE1ADA"/>
    <w:rsid w:val="00CE1FCE"/>
    <w:rsid w:val="00CE7062"/>
    <w:rsid w:val="00D0323C"/>
    <w:rsid w:val="00D102C3"/>
    <w:rsid w:val="00D21FD2"/>
    <w:rsid w:val="00D23148"/>
    <w:rsid w:val="00D24AD1"/>
    <w:rsid w:val="00D4124B"/>
    <w:rsid w:val="00D5119D"/>
    <w:rsid w:val="00D52327"/>
    <w:rsid w:val="00D547B5"/>
    <w:rsid w:val="00D54B2F"/>
    <w:rsid w:val="00D61A9E"/>
    <w:rsid w:val="00D64E30"/>
    <w:rsid w:val="00D74379"/>
    <w:rsid w:val="00D81607"/>
    <w:rsid w:val="00DA0D2D"/>
    <w:rsid w:val="00DA6A86"/>
    <w:rsid w:val="00DB6EEC"/>
    <w:rsid w:val="00DC1B02"/>
    <w:rsid w:val="00DC4BE4"/>
    <w:rsid w:val="00DD3AA5"/>
    <w:rsid w:val="00DE12C1"/>
    <w:rsid w:val="00DE3B68"/>
    <w:rsid w:val="00DE691B"/>
    <w:rsid w:val="00E03F45"/>
    <w:rsid w:val="00E241C2"/>
    <w:rsid w:val="00E2557B"/>
    <w:rsid w:val="00E37BA5"/>
    <w:rsid w:val="00E612EA"/>
    <w:rsid w:val="00E626BF"/>
    <w:rsid w:val="00E651C6"/>
    <w:rsid w:val="00E70B34"/>
    <w:rsid w:val="00E853FC"/>
    <w:rsid w:val="00EA11BE"/>
    <w:rsid w:val="00EB0679"/>
    <w:rsid w:val="00EB1EA7"/>
    <w:rsid w:val="00EB30BA"/>
    <w:rsid w:val="00EB5A6F"/>
    <w:rsid w:val="00EB6301"/>
    <w:rsid w:val="00EC2474"/>
    <w:rsid w:val="00EC7DE3"/>
    <w:rsid w:val="00ED527B"/>
    <w:rsid w:val="00ED5B43"/>
    <w:rsid w:val="00ED7FBB"/>
    <w:rsid w:val="00EE24F7"/>
    <w:rsid w:val="00EF3464"/>
    <w:rsid w:val="00EF7015"/>
    <w:rsid w:val="00F05DA8"/>
    <w:rsid w:val="00F20BCC"/>
    <w:rsid w:val="00F27BDD"/>
    <w:rsid w:val="00F30BEE"/>
    <w:rsid w:val="00F35C31"/>
    <w:rsid w:val="00F41326"/>
    <w:rsid w:val="00F44CB3"/>
    <w:rsid w:val="00F4591E"/>
    <w:rsid w:val="00F51ECB"/>
    <w:rsid w:val="00F53B25"/>
    <w:rsid w:val="00F675B9"/>
    <w:rsid w:val="00F71990"/>
    <w:rsid w:val="00F72DA8"/>
    <w:rsid w:val="00F73D46"/>
    <w:rsid w:val="00F8013C"/>
    <w:rsid w:val="00F86697"/>
    <w:rsid w:val="00F87F98"/>
    <w:rsid w:val="00F91D22"/>
    <w:rsid w:val="00F944E1"/>
    <w:rsid w:val="00FA5B7A"/>
    <w:rsid w:val="00FC7D8E"/>
    <w:rsid w:val="00FD6507"/>
    <w:rsid w:val="00FE6A2D"/>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074">
      <v:stroke weight=".2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Pr>
      <w:sz w:val="24"/>
      <w:szCs w:val="24"/>
    </w:rPr>
  </w:style>
  <w:style w:type="paragraph" w:styleId="Titolo1">
    <w:name w:val="heading 1"/>
    <w:basedOn w:val="Normale"/>
    <w:next w:val="Normale"/>
    <w:qFormat/>
    <w:pPr>
      <w:keepNext/>
      <w:tabs>
        <w:tab w:val="num" w:pos="0"/>
      </w:tabs>
      <w:spacing w:before="240" w:after="60"/>
      <w:outlineLvl w:val="0"/>
    </w:pPr>
    <w:rPr>
      <w:rFonts w:ascii="Arial" w:hAnsi="Arial" w:cs="Arial"/>
      <w:b/>
      <w:bCs/>
      <w:kern w:val="1"/>
      <w:sz w:val="32"/>
      <w:szCs w:val="32"/>
    </w:rPr>
  </w:style>
  <w:style w:type="paragraph" w:styleId="Titolo2">
    <w:name w:val="heading 2"/>
    <w:basedOn w:val="Normale"/>
    <w:next w:val="Normale"/>
    <w:qFormat/>
    <w:pPr>
      <w:keepNext/>
      <w:tabs>
        <w:tab w:val="num" w:pos="0"/>
      </w:tabs>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pPr>
      <w:keepNext/>
      <w:tabs>
        <w:tab w:val="num" w:pos="0"/>
      </w:tabs>
      <w:spacing w:before="240" w:after="60"/>
      <w:outlineLvl w:val="2"/>
    </w:pPr>
    <w:rPr>
      <w:rFonts w:ascii="Arial" w:hAnsi="Arial" w:cs="Arial"/>
      <w:b/>
      <w:bCs/>
      <w:sz w:val="26"/>
      <w:szCs w:val="26"/>
    </w:rPr>
  </w:style>
  <w:style w:type="paragraph" w:styleId="Titolo4">
    <w:name w:val="heading 4"/>
    <w:basedOn w:val="Normale"/>
    <w:next w:val="Normale"/>
    <w:qFormat/>
    <w:pPr>
      <w:keepNext/>
      <w:tabs>
        <w:tab w:val="num" w:pos="0"/>
      </w:tabs>
      <w:spacing w:before="240" w:after="60"/>
      <w:outlineLvl w:val="3"/>
    </w:pPr>
    <w:rPr>
      <w:b/>
      <w:bCs/>
      <w:sz w:val="28"/>
      <w:szCs w:val="28"/>
    </w:rPr>
  </w:style>
  <w:style w:type="paragraph" w:styleId="Titolo5">
    <w:name w:val="heading 5"/>
    <w:basedOn w:val="Normale"/>
    <w:next w:val="Normale"/>
    <w:qFormat/>
    <w:pPr>
      <w:tabs>
        <w:tab w:val="num" w:pos="0"/>
      </w:tabs>
      <w:spacing w:before="240" w:after="60"/>
      <w:outlineLvl w:val="4"/>
    </w:pPr>
    <w:rPr>
      <w:b/>
      <w:bCs/>
      <w:i/>
      <w:iCs/>
      <w:sz w:val="26"/>
      <w:szCs w:val="26"/>
    </w:rPr>
  </w:style>
  <w:style w:type="paragraph" w:styleId="Titolo6">
    <w:name w:val="heading 6"/>
    <w:basedOn w:val="Normale"/>
    <w:next w:val="Normale"/>
    <w:qFormat/>
    <w:pPr>
      <w:tabs>
        <w:tab w:val="num" w:pos="0"/>
      </w:tabs>
      <w:spacing w:before="240" w:after="60"/>
      <w:outlineLvl w:val="5"/>
    </w:pPr>
    <w:rPr>
      <w:b/>
      <w:bCs/>
      <w:sz w:val="22"/>
      <w:szCs w:val="22"/>
    </w:rPr>
  </w:style>
  <w:style w:type="paragraph" w:styleId="Titolo7">
    <w:name w:val="heading 7"/>
    <w:basedOn w:val="Normale"/>
    <w:next w:val="Normale"/>
    <w:qFormat/>
    <w:pPr>
      <w:tabs>
        <w:tab w:val="num" w:pos="0"/>
      </w:tabs>
      <w:spacing w:before="240" w:after="60"/>
      <w:outlineLvl w:val="6"/>
    </w:pPr>
  </w:style>
  <w:style w:type="paragraph" w:styleId="Titolo8">
    <w:name w:val="heading 8"/>
    <w:basedOn w:val="Normale"/>
    <w:next w:val="Normale"/>
    <w:qFormat/>
    <w:pPr>
      <w:tabs>
        <w:tab w:val="num" w:pos="0"/>
      </w:tabs>
      <w:spacing w:before="240" w:after="60"/>
      <w:outlineLvl w:val="7"/>
    </w:pPr>
    <w:rPr>
      <w:i/>
      <w:iCs/>
    </w:rPr>
  </w:style>
  <w:style w:type="paragraph" w:styleId="Titolo9">
    <w:name w:val="heading 9"/>
    <w:basedOn w:val="Normale"/>
    <w:next w:val="Normale"/>
    <w:qFormat/>
    <w:pPr>
      <w:tabs>
        <w:tab w:val="num" w:pos="0"/>
      </w:tabs>
      <w:spacing w:before="240" w:after="60"/>
      <w:outlineLvl w:val="8"/>
    </w:pPr>
    <w:rPr>
      <w:rFonts w:ascii="Arial" w:hAnsi="Arial" w:cs="Arial"/>
      <w:sz w:val="22"/>
      <w:szCs w:val="22"/>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character" w:customStyle="1" w:styleId="Titolo3Carattere">
    <w:name w:val="Titolo 3 Carattere"/>
    <w:link w:val="Titolo3"/>
    <w:rPr>
      <w:rFonts w:ascii="Arial" w:hAnsi="Arial" w:cs="Arial"/>
      <w:b/>
      <w:bCs/>
      <w:sz w:val="26"/>
      <w:szCs w:val="26"/>
      <w:lang w:val="it-IT" w:eastAsia="it-IT" w:bidi="ar-SA"/>
    </w:rPr>
  </w:style>
  <w:style w:type="character" w:customStyle="1" w:styleId="WW8Num5z0">
    <w:name w:val="WW8Num5z0"/>
    <w:semiHidden/>
    <w:rPr>
      <w:rFonts w:ascii="Symbol" w:hAnsi="Symbol"/>
    </w:rPr>
  </w:style>
  <w:style w:type="character" w:customStyle="1" w:styleId="WW8Num6z0">
    <w:name w:val="WW8Num6z0"/>
    <w:semiHidden/>
    <w:rPr>
      <w:rFonts w:ascii="Symbol" w:hAnsi="Symbol"/>
    </w:rPr>
  </w:style>
  <w:style w:type="character" w:customStyle="1" w:styleId="WW8Num7z0">
    <w:name w:val="WW8Num7z0"/>
    <w:semiHidden/>
    <w:rPr>
      <w:rFonts w:ascii="Symbol" w:hAnsi="Symbol"/>
    </w:rPr>
  </w:style>
  <w:style w:type="character" w:customStyle="1" w:styleId="WW8Num8z0">
    <w:name w:val="WW8Num8z0"/>
    <w:semiHidden/>
    <w:rPr>
      <w:rFonts w:ascii="Symbol" w:hAnsi="Symbol"/>
    </w:rPr>
  </w:style>
  <w:style w:type="character" w:customStyle="1" w:styleId="WW8Num10z0">
    <w:name w:val="WW8Num10z0"/>
    <w:semiHidden/>
    <w:rPr>
      <w:rFonts w:ascii="Symbol" w:hAnsi="Symbol"/>
    </w:rPr>
  </w:style>
  <w:style w:type="character" w:customStyle="1" w:styleId="WW8Num11z0">
    <w:name w:val="WW8Num11z0"/>
    <w:semiHidden/>
    <w:rPr>
      <w:rFonts w:ascii="Garamond" w:eastAsia="Times New Roman" w:hAnsi="Garamond" w:cs="Times New Roman"/>
    </w:rPr>
  </w:style>
  <w:style w:type="character" w:customStyle="1" w:styleId="WW8Num11z1">
    <w:name w:val="WW8Num11z1"/>
    <w:semiHidden/>
    <w:rPr>
      <w:rFonts w:ascii="Courier New" w:hAnsi="Courier New" w:cs="Courier New"/>
    </w:rPr>
  </w:style>
  <w:style w:type="character" w:customStyle="1" w:styleId="WW8Num11z2">
    <w:name w:val="WW8Num11z2"/>
    <w:semiHidden/>
    <w:rPr>
      <w:rFonts w:ascii="Wingdings" w:hAnsi="Wingdings"/>
    </w:rPr>
  </w:style>
  <w:style w:type="character" w:customStyle="1" w:styleId="WW8Num11z3">
    <w:name w:val="WW8Num11z3"/>
    <w:semiHidden/>
    <w:rPr>
      <w:rFonts w:ascii="Symbol" w:hAnsi="Symbol"/>
    </w:rPr>
  </w:style>
  <w:style w:type="character" w:customStyle="1" w:styleId="WW8Num13z0">
    <w:name w:val="WW8Num13z0"/>
    <w:semiHidden/>
    <w:rPr>
      <w:rFonts w:ascii="Garamond" w:eastAsia="Times New Roman" w:hAnsi="Garamond" w:cs="Times New Roman"/>
    </w:rPr>
  </w:style>
  <w:style w:type="character" w:customStyle="1" w:styleId="WW8Num13z1">
    <w:name w:val="WW8Num13z1"/>
    <w:semiHidden/>
    <w:rPr>
      <w:rFonts w:ascii="Courier New" w:hAnsi="Courier New" w:cs="Courier New"/>
    </w:rPr>
  </w:style>
  <w:style w:type="character" w:customStyle="1" w:styleId="WW8Num13z2">
    <w:name w:val="WW8Num13z2"/>
    <w:semiHidden/>
    <w:rPr>
      <w:rFonts w:ascii="Wingdings" w:hAnsi="Wingdings"/>
    </w:rPr>
  </w:style>
  <w:style w:type="character" w:customStyle="1" w:styleId="WW8Num13z3">
    <w:name w:val="WW8Num13z3"/>
    <w:semiHidden/>
    <w:rPr>
      <w:rFonts w:ascii="Symbol" w:hAnsi="Symbol"/>
    </w:rPr>
  </w:style>
  <w:style w:type="character" w:customStyle="1" w:styleId="WW8Num15z0">
    <w:name w:val="WW8Num15z0"/>
    <w:semiHidden/>
    <w:rPr>
      <w:rFonts w:ascii="Garamond" w:eastAsia="Times New Roman" w:hAnsi="Garamond" w:cs="Times New Roman"/>
    </w:rPr>
  </w:style>
  <w:style w:type="character" w:customStyle="1" w:styleId="WW8Num15z1">
    <w:name w:val="WW8Num15z1"/>
    <w:semiHidden/>
    <w:rPr>
      <w:rFonts w:ascii="Courier New" w:hAnsi="Courier New" w:cs="Courier New"/>
    </w:rPr>
  </w:style>
  <w:style w:type="character" w:customStyle="1" w:styleId="WW8Num15z2">
    <w:name w:val="WW8Num15z2"/>
    <w:semiHidden/>
    <w:rPr>
      <w:rFonts w:ascii="Wingdings" w:hAnsi="Wingdings"/>
    </w:rPr>
  </w:style>
  <w:style w:type="character" w:customStyle="1" w:styleId="WW8Num15z3">
    <w:name w:val="WW8Num15z3"/>
    <w:semiHidden/>
    <w:rPr>
      <w:rFonts w:ascii="Symbol" w:hAnsi="Symbol"/>
    </w:rPr>
  </w:style>
  <w:style w:type="character" w:customStyle="1" w:styleId="WW8Num16z0">
    <w:name w:val="WW8Num16z0"/>
    <w:semiHidden/>
    <w:rPr>
      <w:rFonts w:ascii="Garamond" w:eastAsia="Times New Roman" w:hAnsi="Garamond" w:cs="Times New Roman"/>
    </w:rPr>
  </w:style>
  <w:style w:type="character" w:customStyle="1" w:styleId="WW8Num16z1">
    <w:name w:val="WW8Num16z1"/>
    <w:semiHidden/>
    <w:rPr>
      <w:rFonts w:ascii="Courier New" w:hAnsi="Courier New" w:cs="Courier New"/>
    </w:rPr>
  </w:style>
  <w:style w:type="character" w:customStyle="1" w:styleId="WW8Num16z2">
    <w:name w:val="WW8Num16z2"/>
    <w:semiHidden/>
    <w:rPr>
      <w:rFonts w:ascii="Wingdings" w:hAnsi="Wingdings"/>
    </w:rPr>
  </w:style>
  <w:style w:type="character" w:customStyle="1" w:styleId="WW8Num16z3">
    <w:name w:val="WW8Num16z3"/>
    <w:semiHidden/>
    <w:rPr>
      <w:rFonts w:ascii="Symbol" w:hAnsi="Symbol"/>
    </w:rPr>
  </w:style>
  <w:style w:type="character" w:customStyle="1" w:styleId="WW8Num18z0">
    <w:name w:val="WW8Num18z0"/>
    <w:semiHidden/>
    <w:rPr>
      <w:rFonts w:ascii="Courier New" w:eastAsia="Times New Roman" w:hAnsi="Courier New"/>
    </w:rPr>
  </w:style>
  <w:style w:type="character" w:customStyle="1" w:styleId="WW8Num18z1">
    <w:name w:val="WW8Num18z1"/>
    <w:semiHidden/>
    <w:rPr>
      <w:rFonts w:ascii="Courier New" w:hAnsi="Courier New" w:cs="Courier New"/>
    </w:rPr>
  </w:style>
  <w:style w:type="character" w:customStyle="1" w:styleId="WW8Num18z2">
    <w:name w:val="WW8Num18z2"/>
    <w:semiHidden/>
    <w:rPr>
      <w:rFonts w:ascii="Wingdings" w:hAnsi="Wingdings"/>
    </w:rPr>
  </w:style>
  <w:style w:type="character" w:customStyle="1" w:styleId="WW8Num18z3">
    <w:name w:val="WW8Num18z3"/>
    <w:semiHidden/>
    <w:rPr>
      <w:rFonts w:ascii="Symbol" w:hAnsi="Symbol"/>
    </w:rPr>
  </w:style>
  <w:style w:type="character" w:customStyle="1" w:styleId="WW8Num19z0">
    <w:name w:val="WW8Num19z0"/>
    <w:semiHidden/>
    <w:rPr>
      <w:rFonts w:ascii="Garamond" w:eastAsia="Times New Roman" w:hAnsi="Garamond" w:cs="Times New Roman"/>
    </w:rPr>
  </w:style>
  <w:style w:type="character" w:customStyle="1" w:styleId="WW8Num19z1">
    <w:name w:val="WW8Num19z1"/>
    <w:semiHidden/>
    <w:rPr>
      <w:rFonts w:ascii="Courier New" w:hAnsi="Courier New" w:cs="Courier New"/>
    </w:rPr>
  </w:style>
  <w:style w:type="character" w:customStyle="1" w:styleId="WW8Num19z2">
    <w:name w:val="WW8Num19z2"/>
    <w:semiHidden/>
    <w:rPr>
      <w:rFonts w:ascii="Wingdings" w:hAnsi="Wingdings"/>
    </w:rPr>
  </w:style>
  <w:style w:type="character" w:customStyle="1" w:styleId="WW8Num19z3">
    <w:name w:val="WW8Num19z3"/>
    <w:semiHidden/>
    <w:rPr>
      <w:rFonts w:ascii="Symbol" w:hAnsi="Symbol"/>
    </w:rPr>
  </w:style>
  <w:style w:type="character" w:customStyle="1" w:styleId="WW8Num20z0">
    <w:name w:val="WW8Num20z0"/>
    <w:semiHidden/>
    <w:rPr>
      <w:rFonts w:ascii="Garamond" w:eastAsia="Times New Roman" w:hAnsi="Garamond" w:cs="Times New Roman"/>
    </w:rPr>
  </w:style>
  <w:style w:type="character" w:customStyle="1" w:styleId="WW8Num20z1">
    <w:name w:val="WW8Num20z1"/>
    <w:semiHidden/>
    <w:rPr>
      <w:rFonts w:ascii="Courier New" w:hAnsi="Courier New" w:cs="Courier New"/>
    </w:rPr>
  </w:style>
  <w:style w:type="character" w:customStyle="1" w:styleId="WW8Num20z2">
    <w:name w:val="WW8Num20z2"/>
    <w:semiHidden/>
    <w:rPr>
      <w:rFonts w:ascii="Wingdings" w:hAnsi="Wingdings"/>
    </w:rPr>
  </w:style>
  <w:style w:type="character" w:customStyle="1" w:styleId="WW8Num20z3">
    <w:name w:val="WW8Num20z3"/>
    <w:semiHidden/>
    <w:rPr>
      <w:rFonts w:ascii="Symbol" w:hAnsi="Symbol"/>
    </w:rPr>
  </w:style>
  <w:style w:type="character" w:customStyle="1" w:styleId="WW8Num22z0">
    <w:name w:val="WW8Num22z0"/>
    <w:semiHidden/>
    <w:rPr>
      <w:rFonts w:ascii="Garamond" w:eastAsia="Times New Roman" w:hAnsi="Garamond" w:cs="Times New Roman"/>
    </w:rPr>
  </w:style>
  <w:style w:type="character" w:customStyle="1" w:styleId="WW8Num22z1">
    <w:name w:val="WW8Num22z1"/>
    <w:semiHidden/>
    <w:rPr>
      <w:rFonts w:ascii="Courier New" w:hAnsi="Courier New" w:cs="Courier New"/>
    </w:rPr>
  </w:style>
  <w:style w:type="character" w:customStyle="1" w:styleId="WW8Num22z2">
    <w:name w:val="WW8Num22z2"/>
    <w:semiHidden/>
    <w:rPr>
      <w:rFonts w:ascii="Wingdings" w:hAnsi="Wingdings"/>
    </w:rPr>
  </w:style>
  <w:style w:type="character" w:customStyle="1" w:styleId="WW8Num22z3">
    <w:name w:val="WW8Num22z3"/>
    <w:semiHidden/>
    <w:rPr>
      <w:rFonts w:ascii="Symbol" w:hAnsi="Symbol"/>
    </w:rPr>
  </w:style>
  <w:style w:type="character" w:customStyle="1" w:styleId="Caratterepredefinitoparagrafo">
    <w:name w:val="Carattere predefinito paragrafo"/>
    <w:semiHidden/>
  </w:style>
  <w:style w:type="character" w:customStyle="1" w:styleId="Caratteredellanota">
    <w:name w:val="Carattere della nota"/>
    <w:semiHidden/>
    <w:rPr>
      <w:sz w:val="18"/>
      <w:vertAlign w:val="superscript"/>
    </w:rPr>
  </w:style>
  <w:style w:type="character" w:styleId="Numeropagina">
    <w:name w:val="page number"/>
    <w:basedOn w:val="Caratterepredefinitoparagrafo"/>
    <w:semiHidden/>
  </w:style>
  <w:style w:type="character" w:styleId="Collegamentoipertestuale">
    <w:name w:val="Hyperlink"/>
    <w:rPr>
      <w:color w:val="0000FF"/>
      <w:u w:val="single"/>
    </w:rPr>
  </w:style>
  <w:style w:type="character" w:customStyle="1" w:styleId="ATestoCarattere">
    <w:name w:val="ATesto Carattere"/>
    <w:rPr>
      <w:rFonts w:ascii="Garamond" w:hAnsi="Garamond" w:cs="Arial"/>
      <w:color w:val="000000"/>
      <w:spacing w:val="-2"/>
      <w:sz w:val="23"/>
      <w:szCs w:val="23"/>
      <w:lang w:val="en-GB" w:eastAsia="ar-SA" w:bidi="ar-SA"/>
    </w:rPr>
  </w:style>
  <w:style w:type="character" w:styleId="Rimandonotaapidipagina">
    <w:name w:val="footnote reference"/>
    <w:aliases w:val="nota pié di pagina,DA Rimando nota a piè di pagina,Nota a piè di pagina DA,Rimando nota a piè di pagina 2"/>
    <w:semiHidden/>
    <w:rPr>
      <w:rFonts w:ascii="Garamond" w:hAnsi="Garamond"/>
      <w:sz w:val="18"/>
      <w:szCs w:val="18"/>
      <w:vertAlign w:val="superscript"/>
    </w:rPr>
  </w:style>
  <w:style w:type="character" w:styleId="Rimandonotadichiusura">
    <w:name w:val="endnote reference"/>
    <w:semiHidden/>
    <w:rPr>
      <w:vertAlign w:val="superscript"/>
    </w:rPr>
  </w:style>
  <w:style w:type="character" w:customStyle="1" w:styleId="Caratterenotadichiusura">
    <w:name w:val="Carattere nota di chiusura"/>
    <w:semiHidden/>
  </w:style>
  <w:style w:type="paragraph" w:customStyle="1" w:styleId="Intestazione1">
    <w:name w:val="Intestazione1"/>
    <w:basedOn w:val="Normale"/>
    <w:next w:val="Corpotesto"/>
    <w:semiHidden/>
    <w:pPr>
      <w:keepNext/>
      <w:spacing w:before="240" w:after="120"/>
    </w:pPr>
    <w:rPr>
      <w:rFonts w:ascii="Arial" w:eastAsia="Arial Unicode MS" w:hAnsi="Arial" w:cs="Tahoma"/>
      <w:sz w:val="28"/>
      <w:szCs w:val="28"/>
    </w:rPr>
  </w:style>
  <w:style w:type="paragraph" w:styleId="Corpotesto">
    <w:name w:val="Corpo testo"/>
    <w:basedOn w:val="Normale"/>
    <w:link w:val="CorpotestoCarattere"/>
    <w:semiHidden/>
    <w:pPr>
      <w:spacing w:after="120"/>
    </w:pPr>
  </w:style>
  <w:style w:type="character" w:customStyle="1" w:styleId="CorpotestoCarattere">
    <w:name w:val="Corpo testo Carattere"/>
    <w:link w:val="Corpotesto"/>
    <w:rPr>
      <w:sz w:val="24"/>
      <w:szCs w:val="24"/>
      <w:lang w:val="it-IT" w:eastAsia="it-IT" w:bidi="ar-SA"/>
    </w:rPr>
  </w:style>
  <w:style w:type="paragraph" w:styleId="Elenco">
    <w:name w:val="List"/>
    <w:basedOn w:val="Normale"/>
    <w:semiHidden/>
    <w:pPr>
      <w:ind w:left="283" w:hanging="283"/>
    </w:pPr>
  </w:style>
  <w:style w:type="paragraph" w:customStyle="1" w:styleId="Dicitura">
    <w:name w:val="Dicitura"/>
    <w:basedOn w:val="Normale"/>
    <w:semiHidden/>
    <w:pPr>
      <w:suppressLineNumbers/>
      <w:spacing w:before="120" w:after="120"/>
    </w:pPr>
    <w:rPr>
      <w:rFonts w:cs="Tahoma"/>
      <w:i/>
      <w:iCs/>
    </w:rPr>
  </w:style>
  <w:style w:type="paragraph" w:customStyle="1" w:styleId="Indice">
    <w:name w:val="Indice"/>
    <w:basedOn w:val="Normale"/>
    <w:semiHidden/>
    <w:pPr>
      <w:suppressLineNumbers/>
    </w:pPr>
    <w:rPr>
      <w:rFonts w:cs="Tahoma"/>
    </w:rPr>
  </w:style>
  <w:style w:type="paragraph" w:styleId="Testonotaapidipagina">
    <w:name w:val="footnote text"/>
    <w:aliases w:val="stile 1,Footnote,Footnote1,Footnote2,Footnote3,Footnote4,Footnote5,Footnote6,Footnote7,Footnote8,Footnote9,Footnote10,Footnote11,Footnote21,Footnote31,Footnote41,Footnote51,Footnote61,Footnote71,Footnote81,Footnote91"/>
    <w:basedOn w:val="Normale"/>
    <w:link w:val="TestonotaapidipaginaCarattere1"/>
    <w:semiHidden/>
    <w:rPr>
      <w:sz w:val="20"/>
      <w:szCs w:val="20"/>
    </w:rPr>
  </w:style>
  <w:style w:type="character" w:customStyle="1" w:styleId="TestonotaapidipaginaCarattere1">
    <w:name w:val="Testo nota a piè di pagina Carattere1"/>
    <w:aliases w:val="stile 1 Carattere,Footnote Carattere,Footnote1 Carattere,Footnote2 Carattere,Footnote3 Carattere,Footnote4 Carattere,Footnote5 Carattere,Footnote6 Carattere,Footnote7 Carattere,Footnote8 Carattere"/>
    <w:link w:val="Testonotaapidipagina"/>
    <w:semiHidden/>
    <w:rPr>
      <w:lang w:val="it-IT" w:eastAsia="it-IT" w:bidi="ar-SA"/>
    </w:rPr>
  </w:style>
  <w:style w:type="paragraph" w:styleId="Intestazione">
    <w:name w:val="header"/>
    <w:basedOn w:val="Normale"/>
    <w:semiHidden/>
    <w:pPr>
      <w:tabs>
        <w:tab w:val="center" w:pos="4819"/>
        <w:tab w:val="right" w:pos="9638"/>
      </w:tabs>
    </w:pPr>
  </w:style>
  <w:style w:type="paragraph" w:styleId="Pidipagina">
    <w:name w:val="footer"/>
    <w:basedOn w:val="Normale"/>
    <w:link w:val="PidipaginaCarattere"/>
    <w:semiHidden/>
    <w:pPr>
      <w:tabs>
        <w:tab w:val="center" w:pos="4819"/>
        <w:tab w:val="right" w:pos="9638"/>
      </w:tabs>
    </w:pPr>
  </w:style>
  <w:style w:type="character" w:customStyle="1" w:styleId="PidipaginaCarattere">
    <w:name w:val="Piè di pagina Carattere"/>
    <w:link w:val="Pidipagina"/>
    <w:rPr>
      <w:sz w:val="24"/>
      <w:szCs w:val="24"/>
      <w:lang w:val="it-IT" w:eastAsia="it-IT" w:bidi="ar-SA"/>
    </w:rPr>
  </w:style>
  <w:style w:type="paragraph" w:customStyle="1" w:styleId="Didascalia1">
    <w:name w:val="Didascalia1"/>
    <w:basedOn w:val="Normale"/>
    <w:next w:val="Normale"/>
    <w:semiHidden/>
    <w:rPr>
      <w:b/>
      <w:bCs/>
      <w:sz w:val="20"/>
      <w:szCs w:val="20"/>
    </w:rPr>
  </w:style>
  <w:style w:type="paragraph" w:styleId="Testofumetto">
    <w:name w:val="Balloon Text"/>
    <w:basedOn w:val="Normale"/>
    <w:semiHidden/>
    <w:rPr>
      <w:rFonts w:ascii="Tahoma" w:hAnsi="Tahoma" w:cs="Tahoma"/>
      <w:sz w:val="16"/>
      <w:szCs w:val="16"/>
    </w:rPr>
  </w:style>
  <w:style w:type="paragraph" w:styleId="Rientrocorpodeltesto">
    <w:name w:val="Body Text Indent"/>
    <w:basedOn w:val="Normale"/>
    <w:semiHidden/>
    <w:pPr>
      <w:ind w:firstLine="454"/>
    </w:pPr>
    <w:rPr>
      <w:szCs w:val="20"/>
    </w:rPr>
  </w:style>
  <w:style w:type="paragraph" w:customStyle="1" w:styleId="Corpodeltesto21">
    <w:name w:val="Corpo del testo 21"/>
    <w:basedOn w:val="Normale"/>
    <w:semiHidden/>
    <w:pPr>
      <w:spacing w:after="120" w:line="480" w:lineRule="auto"/>
    </w:pPr>
  </w:style>
  <w:style w:type="paragraph" w:customStyle="1" w:styleId="Corpodeltesto31">
    <w:name w:val="Corpo del testo 31"/>
    <w:basedOn w:val="Normale"/>
    <w:semiHidden/>
    <w:pPr>
      <w:spacing w:after="120"/>
    </w:pPr>
    <w:rPr>
      <w:sz w:val="16"/>
      <w:szCs w:val="16"/>
    </w:rPr>
  </w:style>
  <w:style w:type="paragraph" w:customStyle="1" w:styleId="Data1">
    <w:name w:val="Data1"/>
    <w:basedOn w:val="Normale"/>
    <w:next w:val="Normale"/>
    <w:semiHidden/>
  </w:style>
  <w:style w:type="paragraph" w:customStyle="1" w:styleId="Elenco21">
    <w:name w:val="Elenco 21"/>
    <w:basedOn w:val="Normale"/>
    <w:semiHidden/>
    <w:pPr>
      <w:ind w:left="566" w:hanging="283"/>
    </w:pPr>
  </w:style>
  <w:style w:type="paragraph" w:customStyle="1" w:styleId="Elenco31">
    <w:name w:val="Elenco 31"/>
    <w:basedOn w:val="Normale"/>
    <w:semiHidden/>
    <w:pPr>
      <w:ind w:left="849" w:hanging="283"/>
    </w:pPr>
  </w:style>
  <w:style w:type="paragraph" w:customStyle="1" w:styleId="Elenco41">
    <w:name w:val="Elenco 41"/>
    <w:basedOn w:val="Normale"/>
    <w:semiHidden/>
    <w:pPr>
      <w:ind w:left="1132" w:hanging="283"/>
    </w:pPr>
  </w:style>
  <w:style w:type="paragraph" w:customStyle="1" w:styleId="Elenco51">
    <w:name w:val="Elenco 51"/>
    <w:basedOn w:val="Normale"/>
    <w:semiHidden/>
    <w:pPr>
      <w:ind w:left="1415" w:hanging="283"/>
    </w:pPr>
  </w:style>
  <w:style w:type="paragraph" w:customStyle="1" w:styleId="Elencocontinua1">
    <w:name w:val="Elenco continua1"/>
    <w:basedOn w:val="Normale"/>
    <w:semiHidden/>
    <w:pPr>
      <w:spacing w:after="120"/>
      <w:ind w:left="283"/>
    </w:pPr>
  </w:style>
  <w:style w:type="paragraph" w:customStyle="1" w:styleId="Elencocontinua21">
    <w:name w:val="Elenco continua 21"/>
    <w:basedOn w:val="Normale"/>
    <w:semiHidden/>
    <w:pPr>
      <w:spacing w:after="120"/>
      <w:ind w:left="566"/>
    </w:pPr>
  </w:style>
  <w:style w:type="paragraph" w:customStyle="1" w:styleId="Elencocontinua31">
    <w:name w:val="Elenco continua 31"/>
    <w:basedOn w:val="Normale"/>
    <w:semiHidden/>
    <w:pPr>
      <w:spacing w:after="120"/>
      <w:ind w:left="849"/>
    </w:pPr>
  </w:style>
  <w:style w:type="paragraph" w:customStyle="1" w:styleId="Elencocontinua41">
    <w:name w:val="Elenco continua 41"/>
    <w:basedOn w:val="Normale"/>
    <w:semiHidden/>
    <w:pPr>
      <w:spacing w:after="120"/>
      <w:ind w:left="1132"/>
    </w:pPr>
  </w:style>
  <w:style w:type="paragraph" w:customStyle="1" w:styleId="Elencocontinua51">
    <w:name w:val="Elenco continua 51"/>
    <w:basedOn w:val="Normale"/>
    <w:semiHidden/>
    <w:pPr>
      <w:spacing w:after="120"/>
      <w:ind w:left="1415"/>
    </w:pPr>
  </w:style>
  <w:style w:type="paragraph" w:styleId="Firma">
    <w:name w:val="Signature"/>
    <w:basedOn w:val="Normale"/>
    <w:semiHidden/>
    <w:pPr>
      <w:ind w:left="4252"/>
    </w:pPr>
  </w:style>
  <w:style w:type="paragraph" w:styleId="Firmadipostaelettronica">
    <w:name w:val="E-mail Signature"/>
    <w:basedOn w:val="Normale"/>
    <w:semiHidden/>
  </w:style>
  <w:style w:type="paragraph" w:customStyle="1" w:styleId="Formuladiapertura1">
    <w:name w:val="Formula di apertura1"/>
    <w:basedOn w:val="Normale"/>
    <w:next w:val="Normale"/>
    <w:semiHidden/>
  </w:style>
  <w:style w:type="paragraph" w:customStyle="1" w:styleId="Formuladichiusura1">
    <w:name w:val="Formula di chiusura1"/>
    <w:basedOn w:val="Normale"/>
    <w:semiHidden/>
    <w:pPr>
      <w:ind w:left="4252"/>
    </w:pPr>
  </w:style>
  <w:style w:type="paragraph" w:styleId="Indice1">
    <w:name w:val="index 1"/>
    <w:basedOn w:val="Normale"/>
    <w:next w:val="Normale"/>
    <w:semiHidden/>
    <w:pPr>
      <w:ind w:left="240" w:hanging="240"/>
    </w:pPr>
  </w:style>
  <w:style w:type="paragraph" w:styleId="Indice2">
    <w:name w:val="index 2"/>
    <w:basedOn w:val="Normale"/>
    <w:next w:val="Normale"/>
    <w:semiHidden/>
    <w:pPr>
      <w:ind w:left="480" w:hanging="240"/>
    </w:pPr>
  </w:style>
  <w:style w:type="paragraph" w:styleId="Indice3">
    <w:name w:val="index 3"/>
    <w:basedOn w:val="Normale"/>
    <w:next w:val="Normale"/>
    <w:semiHidden/>
    <w:pPr>
      <w:ind w:left="720" w:hanging="240"/>
    </w:pPr>
  </w:style>
  <w:style w:type="paragraph" w:styleId="Sommario4">
    <w:name w:val="toc 4"/>
    <w:basedOn w:val="Normale"/>
    <w:next w:val="Normale"/>
    <w:semiHidden/>
    <w:pPr>
      <w:ind w:left="960" w:hanging="240"/>
    </w:pPr>
  </w:style>
  <w:style w:type="paragraph" w:styleId="Sommario5">
    <w:name w:val="toc 5"/>
    <w:basedOn w:val="Normale"/>
    <w:next w:val="Normale"/>
    <w:semiHidden/>
    <w:pPr>
      <w:ind w:left="1200" w:hanging="240"/>
    </w:pPr>
  </w:style>
  <w:style w:type="paragraph" w:styleId="Sommario6">
    <w:name w:val="toc 6"/>
    <w:basedOn w:val="Normale"/>
    <w:next w:val="Normale"/>
    <w:semiHidden/>
    <w:pPr>
      <w:ind w:left="1440" w:hanging="240"/>
    </w:pPr>
  </w:style>
  <w:style w:type="paragraph" w:styleId="Sommario7">
    <w:name w:val="toc 7"/>
    <w:basedOn w:val="Normale"/>
    <w:next w:val="Normale"/>
    <w:semiHidden/>
    <w:pPr>
      <w:ind w:left="1680" w:hanging="240"/>
    </w:pPr>
  </w:style>
  <w:style w:type="paragraph" w:styleId="Sommario8">
    <w:name w:val="toc 8"/>
    <w:basedOn w:val="Normale"/>
    <w:next w:val="Normale"/>
    <w:semiHidden/>
    <w:pPr>
      <w:ind w:left="1920" w:hanging="240"/>
    </w:pPr>
  </w:style>
  <w:style w:type="paragraph" w:styleId="Sommario9">
    <w:name w:val="toc 9"/>
    <w:basedOn w:val="Normale"/>
    <w:next w:val="Normale"/>
    <w:semiHidden/>
    <w:pPr>
      <w:ind w:left="2160" w:hanging="240"/>
    </w:pPr>
  </w:style>
  <w:style w:type="paragraph" w:customStyle="1" w:styleId="Indicedellefigure1">
    <w:name w:val="Indice delle figure1"/>
    <w:basedOn w:val="Normale"/>
    <w:next w:val="Normale"/>
    <w:semiHidden/>
  </w:style>
  <w:style w:type="paragraph" w:customStyle="1" w:styleId="Indicefonti1">
    <w:name w:val="Indice fonti1"/>
    <w:basedOn w:val="Normale"/>
    <w:next w:val="Normale"/>
    <w:semiHidden/>
    <w:pPr>
      <w:ind w:left="240" w:hanging="240"/>
    </w:pPr>
  </w:style>
  <w:style w:type="paragraph" w:styleId="Indirizzodestinatario">
    <w:name w:val="envelope address"/>
    <w:basedOn w:val="Normale"/>
    <w:semiHidden/>
    <w:pPr>
      <w:ind w:left="2880"/>
    </w:pPr>
    <w:rPr>
      <w:rFonts w:ascii="Arial" w:hAnsi="Arial" w:cs="Arial"/>
    </w:rPr>
  </w:style>
  <w:style w:type="paragraph" w:styleId="IndirizzoHTML">
    <w:name w:val="HTML Address"/>
    <w:basedOn w:val="Normale"/>
    <w:semiHidden/>
    <w:rPr>
      <w:i/>
      <w:iCs/>
    </w:rPr>
  </w:style>
  <w:style w:type="paragraph" w:styleId="Indirizzomittente">
    <w:name w:val="envelope return"/>
    <w:basedOn w:val="Normale"/>
    <w:semiHidden/>
    <w:rPr>
      <w:rFonts w:ascii="Arial" w:hAnsi="Arial" w:cs="Arial"/>
      <w:sz w:val="20"/>
      <w:szCs w:val="20"/>
    </w:rPr>
  </w:style>
  <w:style w:type="paragraph" w:customStyle="1" w:styleId="Intestazionemessaggio1">
    <w:name w:val="Intestazione messaggio1"/>
    <w:basedOn w:val="Normale"/>
    <w:semiHidden/>
    <w:pPr>
      <w:pBdr>
        <w:top w:val="single" w:sz="4" w:space="1" w:color="000000"/>
        <w:left w:val="single" w:sz="4" w:space="1" w:color="000000"/>
        <w:bottom w:val="single" w:sz="4" w:space="1" w:color="000000"/>
        <w:right w:val="single" w:sz="4" w:space="1" w:color="000000"/>
      </w:pBdr>
      <w:shd w:val="clear" w:color="auto" w:fill="CCCCCC"/>
      <w:ind w:left="1134" w:hanging="1134"/>
    </w:pPr>
    <w:rPr>
      <w:rFonts w:ascii="Arial" w:hAnsi="Arial" w:cs="Arial"/>
    </w:rPr>
  </w:style>
  <w:style w:type="paragraph" w:customStyle="1" w:styleId="Intestazionenota1">
    <w:name w:val="Intestazione nota1"/>
    <w:basedOn w:val="Normale"/>
    <w:next w:val="Normale"/>
    <w:semiHidden/>
  </w:style>
  <w:style w:type="paragraph" w:customStyle="1" w:styleId="Mappadocumento1">
    <w:name w:val="Mappa documento1"/>
    <w:basedOn w:val="Normale"/>
    <w:semiHidden/>
    <w:pPr>
      <w:shd w:val="clear" w:color="auto" w:fill="000080"/>
    </w:pPr>
    <w:rPr>
      <w:rFonts w:ascii="Tahoma" w:hAnsi="Tahoma" w:cs="Tahoma"/>
      <w:sz w:val="20"/>
      <w:szCs w:val="20"/>
    </w:rPr>
  </w:style>
  <w:style w:type="paragraph" w:styleId="NormaleWeb">
    <w:name w:val="Normal (Web)"/>
    <w:basedOn w:val="Normale"/>
    <w:semiHidden/>
  </w:style>
  <w:style w:type="paragraph" w:customStyle="1" w:styleId="Numeroelenco1">
    <w:name w:val="Numero elenco1"/>
    <w:basedOn w:val="Normale"/>
    <w:semiHidden/>
  </w:style>
  <w:style w:type="paragraph" w:customStyle="1" w:styleId="Numeroelenco21">
    <w:name w:val="Numero elenco 21"/>
    <w:basedOn w:val="Normale"/>
    <w:semiHidden/>
  </w:style>
  <w:style w:type="paragraph" w:customStyle="1" w:styleId="Numeroelenco31">
    <w:name w:val="Numero elenco 31"/>
    <w:basedOn w:val="Normale"/>
    <w:semiHidden/>
  </w:style>
  <w:style w:type="paragraph" w:customStyle="1" w:styleId="Numeroelenco41">
    <w:name w:val="Numero elenco 41"/>
    <w:basedOn w:val="Normale"/>
    <w:semiHidden/>
  </w:style>
  <w:style w:type="paragraph" w:customStyle="1" w:styleId="Numeroelenco51">
    <w:name w:val="Numero elenco 51"/>
    <w:basedOn w:val="Normale"/>
    <w:semiHidden/>
  </w:style>
  <w:style w:type="paragraph" w:styleId="PreformattatoHTML">
    <w:name w:val="HTML Preformatted"/>
    <w:basedOn w:val="Normale"/>
    <w:semiHidden/>
    <w:rPr>
      <w:rFonts w:ascii="Courier New" w:hAnsi="Courier New" w:cs="Courier New"/>
      <w:sz w:val="20"/>
      <w:szCs w:val="20"/>
    </w:rPr>
  </w:style>
  <w:style w:type="paragraph" w:customStyle="1" w:styleId="Primorientrocorpodeltesto1">
    <w:name w:val="Primo rientro corpo del testo1"/>
    <w:basedOn w:val="Corpotesto"/>
    <w:semiHidden/>
    <w:pPr>
      <w:ind w:firstLine="210"/>
    </w:pPr>
  </w:style>
  <w:style w:type="paragraph" w:customStyle="1" w:styleId="Primorientrocorpodeltesto21">
    <w:name w:val="Primo rientro corpo del testo 21"/>
    <w:basedOn w:val="Rientrocorpodeltesto"/>
    <w:semiHidden/>
    <w:pPr>
      <w:spacing w:after="120"/>
      <w:ind w:left="283" w:firstLine="210"/>
    </w:pPr>
    <w:rPr>
      <w:szCs w:val="24"/>
    </w:rPr>
  </w:style>
  <w:style w:type="paragraph" w:customStyle="1" w:styleId="Puntoelenco1">
    <w:name w:val="Punto elenco1"/>
    <w:basedOn w:val="Normale"/>
    <w:semiHidden/>
  </w:style>
  <w:style w:type="paragraph" w:customStyle="1" w:styleId="Puntoelenco21">
    <w:name w:val="Punto elenco 21"/>
    <w:basedOn w:val="Normale"/>
    <w:semiHidden/>
  </w:style>
  <w:style w:type="paragraph" w:customStyle="1" w:styleId="Puntoelenco31">
    <w:name w:val="Punto elenco 31"/>
    <w:basedOn w:val="Normale"/>
    <w:semiHidden/>
  </w:style>
  <w:style w:type="paragraph" w:customStyle="1" w:styleId="Puntoelenco41">
    <w:name w:val="Punto elenco 41"/>
    <w:basedOn w:val="Normale"/>
    <w:semiHidden/>
  </w:style>
  <w:style w:type="paragraph" w:customStyle="1" w:styleId="Puntoelenco51">
    <w:name w:val="Punto elenco 51"/>
    <w:basedOn w:val="Normale"/>
    <w:semiHidden/>
  </w:style>
  <w:style w:type="paragraph" w:customStyle="1" w:styleId="Rientrocorpodeltesto21">
    <w:name w:val="Rientro corpo del testo 21"/>
    <w:basedOn w:val="Normale"/>
    <w:semiHidden/>
    <w:pPr>
      <w:spacing w:after="120" w:line="480" w:lineRule="auto"/>
      <w:ind w:left="283"/>
    </w:pPr>
  </w:style>
  <w:style w:type="paragraph" w:customStyle="1" w:styleId="Rientrocorpodeltesto31">
    <w:name w:val="Rientro corpo del testo 31"/>
    <w:basedOn w:val="Normale"/>
    <w:semiHidden/>
    <w:pPr>
      <w:spacing w:after="120"/>
      <w:ind w:left="283"/>
    </w:pPr>
    <w:rPr>
      <w:sz w:val="16"/>
      <w:szCs w:val="16"/>
    </w:rPr>
  </w:style>
  <w:style w:type="paragraph" w:customStyle="1" w:styleId="Rientronormale1">
    <w:name w:val="Rientro normale1"/>
    <w:basedOn w:val="Normale"/>
    <w:semiHidden/>
    <w:pPr>
      <w:ind w:left="708"/>
    </w:pPr>
  </w:style>
  <w:style w:type="paragraph" w:customStyle="1" w:styleId="Testocommento1">
    <w:name w:val="Testo commento1"/>
    <w:basedOn w:val="Normale"/>
    <w:semiHidden/>
    <w:rPr>
      <w:sz w:val="20"/>
      <w:szCs w:val="20"/>
    </w:rPr>
  </w:style>
  <w:style w:type="paragraph" w:styleId="Soggettocommento">
    <w:name w:val="annotation subject"/>
    <w:basedOn w:val="Testocommento1"/>
    <w:next w:val="Testocommento1"/>
    <w:semiHidden/>
    <w:rPr>
      <w:b/>
      <w:bCs/>
    </w:rPr>
  </w:style>
  <w:style w:type="paragraph" w:styleId="Sommario1">
    <w:name w:val="toc 1"/>
    <w:basedOn w:val="Normale"/>
    <w:next w:val="Normale"/>
    <w:semiHidden/>
  </w:style>
  <w:style w:type="paragraph" w:styleId="Sommario2">
    <w:name w:val="toc 2"/>
    <w:basedOn w:val="Normale"/>
    <w:next w:val="Normale"/>
    <w:semiHidden/>
    <w:pPr>
      <w:ind w:left="240"/>
    </w:pPr>
  </w:style>
  <w:style w:type="paragraph" w:styleId="Sommario3">
    <w:name w:val="toc 3"/>
    <w:basedOn w:val="Normale"/>
    <w:next w:val="Normale"/>
    <w:semiHidden/>
    <w:pPr>
      <w:ind w:left="480"/>
    </w:pPr>
  </w:style>
  <w:style w:type="paragraph" w:customStyle="1" w:styleId="Sommario41">
    <w:name w:val="Sommario 41"/>
    <w:basedOn w:val="Normale"/>
    <w:next w:val="Normale"/>
    <w:semiHidden/>
    <w:pPr>
      <w:ind w:left="720"/>
    </w:pPr>
  </w:style>
  <w:style w:type="paragraph" w:customStyle="1" w:styleId="Sommario51">
    <w:name w:val="Sommario 51"/>
    <w:basedOn w:val="Normale"/>
    <w:next w:val="Normale"/>
    <w:semiHidden/>
    <w:pPr>
      <w:ind w:left="960"/>
    </w:pPr>
  </w:style>
  <w:style w:type="paragraph" w:customStyle="1" w:styleId="Sommario61">
    <w:name w:val="Sommario 61"/>
    <w:basedOn w:val="Normale"/>
    <w:next w:val="Normale"/>
    <w:semiHidden/>
    <w:pPr>
      <w:ind w:left="1200"/>
    </w:pPr>
  </w:style>
  <w:style w:type="paragraph" w:customStyle="1" w:styleId="Sommario71">
    <w:name w:val="Sommario 71"/>
    <w:basedOn w:val="Normale"/>
    <w:next w:val="Normale"/>
    <w:semiHidden/>
    <w:pPr>
      <w:ind w:left="1440"/>
    </w:pPr>
  </w:style>
  <w:style w:type="paragraph" w:customStyle="1" w:styleId="Sommario81">
    <w:name w:val="Sommario 81"/>
    <w:basedOn w:val="Normale"/>
    <w:next w:val="Normale"/>
    <w:semiHidden/>
    <w:pPr>
      <w:ind w:left="1680"/>
    </w:pPr>
  </w:style>
  <w:style w:type="paragraph" w:customStyle="1" w:styleId="Sommario91">
    <w:name w:val="Sommario 91"/>
    <w:basedOn w:val="Normale"/>
    <w:next w:val="Normale"/>
    <w:semiHidden/>
    <w:pPr>
      <w:ind w:left="1920"/>
    </w:pPr>
  </w:style>
  <w:style w:type="paragraph" w:customStyle="1" w:styleId="Testodelblocco1">
    <w:name w:val="Testo del blocco1"/>
    <w:basedOn w:val="Normale"/>
    <w:semiHidden/>
    <w:pPr>
      <w:spacing w:after="120"/>
      <w:ind w:left="1440" w:right="1440"/>
    </w:pPr>
  </w:style>
  <w:style w:type="paragraph" w:customStyle="1" w:styleId="Testomacro1">
    <w:name w:val="Testo macro1"/>
    <w:semiHidden/>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eastAsia="ar-SA"/>
    </w:rPr>
  </w:style>
  <w:style w:type="paragraph" w:customStyle="1" w:styleId="Testonormale1">
    <w:name w:val="Testo normale1"/>
    <w:basedOn w:val="Normale"/>
    <w:semiHidden/>
    <w:rPr>
      <w:rFonts w:ascii="Courier New" w:hAnsi="Courier New" w:cs="Courier New"/>
      <w:sz w:val="20"/>
      <w:szCs w:val="20"/>
    </w:rPr>
  </w:style>
  <w:style w:type="paragraph" w:styleId="Testonotadichiusura">
    <w:name w:val="endnote text"/>
    <w:basedOn w:val="Normale"/>
    <w:semiHidden/>
    <w:rPr>
      <w:sz w:val="20"/>
      <w:szCs w:val="20"/>
    </w:rPr>
  </w:style>
  <w:style w:type="paragraph" w:styleId="Titolo">
    <w:name w:val="Title"/>
    <w:basedOn w:val="Normale"/>
    <w:next w:val="Normale"/>
    <w:qFormat/>
    <w:pPr>
      <w:spacing w:before="240" w:after="60"/>
      <w:jc w:val="center"/>
    </w:pPr>
    <w:rPr>
      <w:rFonts w:ascii="Arial" w:hAnsi="Arial" w:cs="Arial"/>
      <w:b/>
      <w:bCs/>
      <w:kern w:val="1"/>
      <w:sz w:val="32"/>
      <w:szCs w:val="32"/>
    </w:rPr>
  </w:style>
  <w:style w:type="paragraph" w:styleId="Titoloindice">
    <w:name w:val="index heading"/>
    <w:basedOn w:val="Normale"/>
    <w:next w:val="Indice1"/>
    <w:semiHidden/>
    <w:rPr>
      <w:rFonts w:ascii="Arial" w:hAnsi="Arial" w:cs="Arial"/>
      <w:b/>
      <w:bCs/>
    </w:rPr>
  </w:style>
  <w:style w:type="paragraph" w:customStyle="1" w:styleId="Titoloindicefonti1">
    <w:name w:val="Titolo indice fonti1"/>
    <w:basedOn w:val="Normale"/>
    <w:next w:val="Normale"/>
    <w:semiHidden/>
    <w:pPr>
      <w:spacing w:before="120"/>
    </w:pPr>
    <w:rPr>
      <w:rFonts w:ascii="Arial" w:hAnsi="Arial" w:cs="Arial"/>
      <w:b/>
      <w:bCs/>
    </w:rPr>
  </w:style>
  <w:style w:type="paragraph" w:customStyle="1" w:styleId="ASottotitolo">
    <w:name w:val="ASottotitolo"/>
    <w:basedOn w:val="Normale"/>
    <w:link w:val="ASottotitoloCarattere"/>
    <w:rsid w:val="000D4631"/>
    <w:pPr>
      <w:widowControl w:val="0"/>
      <w:spacing w:before="480" w:after="240" w:line="280" w:lineRule="exact"/>
      <w:jc w:val="both"/>
    </w:pPr>
    <w:rPr>
      <w:rFonts w:ascii="Garamond" w:hAnsi="Garamond"/>
      <w:b/>
      <w:szCs w:val="20"/>
    </w:rPr>
  </w:style>
  <w:style w:type="character" w:customStyle="1" w:styleId="ASottotitoloCarattere">
    <w:name w:val="ASottotitolo Carattere"/>
    <w:link w:val="ASottotitolo"/>
    <w:rsid w:val="00E651C6"/>
    <w:rPr>
      <w:rFonts w:ascii="Garamond" w:hAnsi="Garamond"/>
      <w:b/>
      <w:sz w:val="24"/>
      <w:lang w:val="it-IT" w:eastAsia="it-IT" w:bidi="ar-SA"/>
    </w:rPr>
  </w:style>
  <w:style w:type="paragraph" w:customStyle="1" w:styleId="Stile1">
    <w:name w:val="Stile1"/>
    <w:basedOn w:val="ASottotitolo"/>
    <w:semiHidden/>
    <w:pPr>
      <w:spacing w:before="169" w:after="85"/>
      <w:ind w:left="340" w:hanging="340"/>
    </w:pPr>
    <w:rPr>
      <w:b w:val="0"/>
      <w:i/>
    </w:rPr>
  </w:style>
  <w:style w:type="paragraph" w:customStyle="1" w:styleId="ATitoletto">
    <w:name w:val="A Titoletto"/>
    <w:basedOn w:val="ASottotitolo"/>
    <w:pPr>
      <w:spacing w:before="200" w:after="80" w:line="240" w:lineRule="exact"/>
    </w:pPr>
    <w:rPr>
      <w:b w:val="0"/>
      <w:i/>
      <w:position w:val="-5"/>
    </w:rPr>
  </w:style>
  <w:style w:type="paragraph" w:customStyle="1" w:styleId="ADidascalia">
    <w:name w:val="ADidascalia"/>
    <w:basedOn w:val="ATitoletto"/>
    <w:pPr>
      <w:spacing w:before="0" w:after="0"/>
      <w:ind w:firstLine="340"/>
    </w:pPr>
    <w:rPr>
      <w:b/>
      <w:i w:val="0"/>
    </w:rPr>
  </w:style>
  <w:style w:type="paragraph" w:customStyle="1" w:styleId="AFonti">
    <w:name w:val="AFonti"/>
    <w:basedOn w:val="ADidascalia"/>
    <w:pPr>
      <w:ind w:firstLine="0"/>
    </w:pPr>
    <w:rPr>
      <w:b w:val="0"/>
      <w:i/>
      <w:sz w:val="20"/>
    </w:rPr>
  </w:style>
  <w:style w:type="paragraph" w:customStyle="1" w:styleId="ATitolo">
    <w:name w:val="ATitolo"/>
    <w:basedOn w:val="Normale"/>
    <w:pPr>
      <w:widowControl w:val="0"/>
      <w:spacing w:after="440" w:line="420" w:lineRule="exact"/>
      <w:jc w:val="center"/>
    </w:pPr>
    <w:rPr>
      <w:rFonts w:ascii="Garamond" w:hAnsi="Garamond"/>
      <w:sz w:val="38"/>
      <w:szCs w:val="38"/>
    </w:rPr>
  </w:style>
  <w:style w:type="paragraph" w:customStyle="1" w:styleId="ATesto">
    <w:name w:val="ATesto"/>
    <w:basedOn w:val="Normale"/>
    <w:link w:val="ATestoCarattere1"/>
    <w:pPr>
      <w:widowControl w:val="0"/>
      <w:spacing w:line="240" w:lineRule="exact"/>
      <w:ind w:firstLine="340"/>
      <w:jc w:val="both"/>
    </w:pPr>
    <w:rPr>
      <w:rFonts w:ascii="Garamond" w:hAnsi="Garamond" w:cs="Arial"/>
      <w:color w:val="000000"/>
      <w:spacing w:val="-2"/>
      <w:sz w:val="23"/>
      <w:szCs w:val="23"/>
      <w:lang w:val="en-GB"/>
    </w:rPr>
  </w:style>
  <w:style w:type="character" w:customStyle="1" w:styleId="ATestoCarattere1">
    <w:name w:val="ATesto Carattere1"/>
    <w:link w:val="ATesto"/>
    <w:rPr>
      <w:rFonts w:ascii="Garamond" w:hAnsi="Garamond" w:cs="Arial"/>
      <w:color w:val="000000"/>
      <w:spacing w:val="-2"/>
      <w:sz w:val="23"/>
      <w:szCs w:val="23"/>
      <w:lang w:val="en-GB" w:eastAsia="it-IT" w:bidi="ar-SA"/>
    </w:rPr>
  </w:style>
  <w:style w:type="paragraph" w:customStyle="1" w:styleId="ATestorientrato">
    <w:name w:val="ATesto rientrato"/>
    <w:basedOn w:val="ATesto"/>
    <w:link w:val="ATestorientratoCarattere"/>
    <w:pPr>
      <w:tabs>
        <w:tab w:val="left" w:pos="340"/>
      </w:tabs>
      <w:ind w:left="340" w:hanging="340"/>
    </w:pPr>
  </w:style>
  <w:style w:type="character" w:customStyle="1" w:styleId="ATestorientratoCarattere">
    <w:name w:val="ATesto rientrato Carattere"/>
    <w:basedOn w:val="ATestoCarattere1"/>
    <w:link w:val="ATestorientrato"/>
  </w:style>
  <w:style w:type="paragraph" w:customStyle="1" w:styleId="ASommarioeAbstract">
    <w:name w:val="ASommario e Abstract"/>
    <w:basedOn w:val="ATestorientrato"/>
    <w:rsid w:val="00EB5A6F"/>
    <w:pPr>
      <w:suppressAutoHyphens/>
      <w:spacing w:line="190" w:lineRule="exact"/>
      <w:ind w:left="284" w:hanging="284"/>
    </w:pPr>
    <w:rPr>
      <w:i/>
      <w:spacing w:val="0"/>
      <w:sz w:val="18"/>
      <w:szCs w:val="18"/>
      <w:lang w:val="it-IT"/>
    </w:rPr>
  </w:style>
  <w:style w:type="paragraph" w:customStyle="1" w:styleId="ANote">
    <w:name w:val="ANote"/>
    <w:basedOn w:val="ATestorientrato"/>
    <w:link w:val="ANoteCarattere"/>
    <w:pPr>
      <w:spacing w:line="180" w:lineRule="exact"/>
      <w:ind w:left="0" w:firstLine="284"/>
    </w:pPr>
    <w:rPr>
      <w:sz w:val="18"/>
      <w:szCs w:val="18"/>
      <w:lang w:val="it-IT"/>
    </w:rPr>
  </w:style>
  <w:style w:type="character" w:customStyle="1" w:styleId="ANoteCarattere">
    <w:name w:val="ANote Carattere"/>
    <w:link w:val="ANote"/>
    <w:rPr>
      <w:rFonts w:ascii="Garamond" w:hAnsi="Garamond" w:cs="Arial"/>
      <w:color w:val="000000"/>
      <w:spacing w:val="-2"/>
      <w:sz w:val="18"/>
      <w:szCs w:val="18"/>
      <w:lang w:val="it-IT" w:eastAsia="it-IT" w:bidi="ar-SA"/>
    </w:rPr>
  </w:style>
  <w:style w:type="paragraph" w:customStyle="1" w:styleId="AIndicazfineartic">
    <w:name w:val="AIndicaz fine artic"/>
    <w:basedOn w:val="ATestorientrato"/>
    <w:link w:val="AIndicazfinearticCarattere"/>
    <w:pPr>
      <w:spacing w:line="216" w:lineRule="exact"/>
      <w:ind w:left="0" w:firstLine="0"/>
    </w:pPr>
    <w:rPr>
      <w:sz w:val="18"/>
      <w:szCs w:val="18"/>
      <w:lang w:val="it-IT"/>
    </w:rPr>
  </w:style>
  <w:style w:type="character" w:customStyle="1" w:styleId="AIndicazfinearticCarattere">
    <w:name w:val="AIndicaz fine artic Carattere"/>
    <w:link w:val="AIndicazfineartic"/>
    <w:rPr>
      <w:rFonts w:ascii="Garamond" w:hAnsi="Garamond" w:cs="Arial"/>
      <w:color w:val="000000"/>
      <w:spacing w:val="-2"/>
      <w:sz w:val="18"/>
      <w:szCs w:val="18"/>
      <w:lang w:val="it-IT" w:eastAsia="it-IT" w:bidi="ar-SA"/>
    </w:rPr>
  </w:style>
  <w:style w:type="paragraph" w:customStyle="1" w:styleId="AASommarioeAbstractragioneri">
    <w:name w:val="AASommario e Abstract ragioneri"/>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uppressAutoHyphens/>
      <w:autoSpaceDE w:val="0"/>
      <w:spacing w:line="190" w:lineRule="atLeast"/>
      <w:ind w:left="283" w:hanging="283"/>
      <w:jc w:val="both"/>
    </w:pPr>
    <w:rPr>
      <w:rFonts w:ascii="Garamond" w:hAnsi="Garamond" w:cs="Garamond"/>
      <w:i/>
      <w:iCs/>
      <w:sz w:val="18"/>
      <w:szCs w:val="18"/>
      <w:lang w:eastAsia="ar-SA"/>
    </w:rPr>
  </w:style>
  <w:style w:type="paragraph" w:customStyle="1" w:styleId="AANoteragioneria">
    <w:name w:val="AANote ragioneria"/>
    <w:pPr>
      <w:tabs>
        <w:tab w:val="left" w:pos="284"/>
      </w:tabs>
      <w:suppressAutoHyphens/>
      <w:autoSpaceDE w:val="0"/>
      <w:spacing w:line="140" w:lineRule="atLeast"/>
      <w:ind w:firstLine="284"/>
      <w:jc w:val="both"/>
    </w:pPr>
    <w:rPr>
      <w:rFonts w:ascii="Garamond" w:hAnsi="Garamond"/>
      <w:spacing w:val="-6"/>
      <w:sz w:val="18"/>
      <w:szCs w:val="18"/>
      <w:lang w:eastAsia="ar-SA"/>
    </w:rPr>
  </w:style>
  <w:style w:type="paragraph" w:customStyle="1" w:styleId="ATitoloRagioneria">
    <w:name w:val="ATitolo Ragioneria"/>
    <w:semiHidden/>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uppressAutoHyphens/>
      <w:autoSpaceDE w:val="0"/>
      <w:spacing w:after="200" w:line="420" w:lineRule="atLeast"/>
      <w:jc w:val="center"/>
    </w:pPr>
    <w:rPr>
      <w:rFonts w:ascii="Garamond" w:hAnsi="Garamond" w:cs="Garamond"/>
      <w:sz w:val="38"/>
      <w:szCs w:val="38"/>
      <w:lang w:eastAsia="ar-SA"/>
    </w:rPr>
  </w:style>
  <w:style w:type="paragraph" w:customStyle="1" w:styleId="AASottotitoloragioneria">
    <w:name w:val="AASottotitolo ragioneria"/>
    <w:pPr>
      <w:tabs>
        <w:tab w:val="left" w:pos="340"/>
      </w:tabs>
      <w:suppressAutoHyphens/>
      <w:autoSpaceDE w:val="0"/>
      <w:spacing w:before="480" w:after="240" w:line="280" w:lineRule="atLeast"/>
      <w:ind w:left="340" w:hanging="340"/>
      <w:jc w:val="both"/>
    </w:pPr>
    <w:rPr>
      <w:rFonts w:ascii="Garamond" w:hAnsi="Garamond" w:cs="Garamond"/>
      <w:b/>
      <w:bCs/>
      <w:sz w:val="24"/>
      <w:szCs w:val="24"/>
      <w:lang w:eastAsia="ar-SA"/>
    </w:rPr>
  </w:style>
  <w:style w:type="paragraph" w:customStyle="1" w:styleId="ATestoragioneria">
    <w:name w:val="ATesto ragioneri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uppressAutoHyphens/>
      <w:autoSpaceDE w:val="0"/>
      <w:spacing w:line="240" w:lineRule="atLeast"/>
      <w:ind w:firstLine="340"/>
      <w:jc w:val="both"/>
    </w:pPr>
    <w:rPr>
      <w:rFonts w:ascii="Garamond" w:hAnsi="Garamond" w:cs="Garamond"/>
      <w:sz w:val="23"/>
      <w:szCs w:val="23"/>
      <w:lang w:eastAsia="ar-SA"/>
    </w:rPr>
  </w:style>
  <w:style w:type="paragraph" w:customStyle="1" w:styleId="AATestorientratoragioneria">
    <w:name w:val="AATesto rientrato ragioneria"/>
    <w:semiHidden/>
    <w:pPr>
      <w:tabs>
        <w:tab w:val="left" w:pos="340"/>
      </w:tabs>
      <w:suppressAutoHyphens/>
      <w:autoSpaceDE w:val="0"/>
      <w:spacing w:line="240" w:lineRule="atLeast"/>
      <w:ind w:left="340" w:hanging="340"/>
      <w:jc w:val="both"/>
    </w:pPr>
    <w:rPr>
      <w:rFonts w:ascii="Garamond" w:hAnsi="Garamond" w:cs="Garamond"/>
      <w:color w:val="000000"/>
      <w:sz w:val="23"/>
      <w:szCs w:val="23"/>
      <w:lang w:eastAsia="ar-SA"/>
    </w:rPr>
  </w:style>
  <w:style w:type="paragraph" w:customStyle="1" w:styleId="AAIndicazfinearticragioneria">
    <w:name w:val="AAIndicaz fine artic ragioneria"/>
    <w:basedOn w:val="ATestoragioneria"/>
    <w:pPr>
      <w:spacing w:line="216" w:lineRule="atLeast"/>
      <w:ind w:firstLine="0"/>
    </w:pPr>
    <w:rPr>
      <w:rFonts w:ascii="Times New Roman" w:hAnsi="Times New Roman"/>
      <w:sz w:val="18"/>
      <w:szCs w:val="18"/>
    </w:rPr>
  </w:style>
  <w:style w:type="paragraph" w:customStyle="1" w:styleId="AAutoriinizarticolo">
    <w:name w:val="AAutori iniz articolo"/>
    <w:basedOn w:val="Normale"/>
    <w:link w:val="AAutoriinizarticoloCaratter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spacing w:after="560"/>
      <w:jc w:val="center"/>
    </w:pPr>
    <w:rPr>
      <w:rFonts w:ascii="Garamond" w:hAnsi="Garamond" w:cs="Garamond"/>
      <w:smallCaps/>
      <w:sz w:val="22"/>
      <w:szCs w:val="22"/>
      <w:lang w:val="en-GB"/>
    </w:rPr>
  </w:style>
  <w:style w:type="character" w:customStyle="1" w:styleId="AAutoriinizarticoloCarattere">
    <w:name w:val="AAutori iniz articolo Carattere"/>
    <w:link w:val="AAutoriinizarticolo"/>
    <w:locked/>
    <w:rsid w:val="003E7441"/>
    <w:rPr>
      <w:rFonts w:ascii="Garamond" w:hAnsi="Garamond" w:cs="Garamond"/>
      <w:smallCaps/>
      <w:sz w:val="22"/>
      <w:szCs w:val="22"/>
      <w:lang w:val="en-GB" w:eastAsia="it-IT" w:bidi="ar-SA"/>
    </w:rPr>
  </w:style>
  <w:style w:type="paragraph" w:styleId="Rientrocorpodeltesto2">
    <w:name w:val="Body Text Indent 2"/>
    <w:basedOn w:val="Normale"/>
    <w:semiHidden/>
    <w:pPr>
      <w:spacing w:after="120" w:line="480" w:lineRule="auto"/>
      <w:ind w:left="283"/>
    </w:pPr>
  </w:style>
  <w:style w:type="paragraph" w:styleId="Corpodeltesto3">
    <w:name w:val="Body Text 3"/>
    <w:basedOn w:val="Normale"/>
    <w:semiHidden/>
    <w:pPr>
      <w:spacing w:after="120"/>
    </w:pPr>
    <w:rPr>
      <w:sz w:val="16"/>
      <w:szCs w:val="16"/>
    </w:rPr>
  </w:style>
  <w:style w:type="paragraph" w:customStyle="1" w:styleId="aziendapubblica">
    <w:name w:val="azienda pubblica"/>
    <w:basedOn w:val="Normale"/>
    <w:semiHidden/>
    <w:pPr>
      <w:jc w:val="both"/>
    </w:pPr>
    <w:rPr>
      <w:rFonts w:ascii="Arial" w:hAnsi="Arial"/>
    </w:rPr>
  </w:style>
  <w:style w:type="paragraph" w:styleId="Puntoelenco3">
    <w:name w:val="List Bullet 3"/>
    <w:basedOn w:val="Normale"/>
    <w:semiHidden/>
    <w:pPr>
      <w:numPr>
        <w:numId w:val="1"/>
      </w:numPr>
    </w:pPr>
  </w:style>
  <w:style w:type="paragraph" w:customStyle="1" w:styleId="Intest4">
    <w:name w:val="Intest. 4"/>
    <w:basedOn w:val="Normale"/>
    <w:next w:val="Normale"/>
    <w:semiHidden/>
    <w:pPr>
      <w:keepNext/>
      <w:spacing w:before="240" w:after="240"/>
      <w:jc w:val="both"/>
    </w:pPr>
    <w:rPr>
      <w:rFonts w:ascii="Verdana" w:hAnsi="Verdana"/>
      <w:b/>
    </w:rPr>
  </w:style>
  <w:style w:type="paragraph" w:customStyle="1" w:styleId="List31">
    <w:name w:val="List 31"/>
    <w:basedOn w:val="Normale"/>
    <w:next w:val="Normale"/>
    <w:semiHidden/>
    <w:pPr>
      <w:spacing w:after="240"/>
      <w:ind w:left="924" w:hanging="357"/>
      <w:jc w:val="both"/>
    </w:pPr>
    <w:rPr>
      <w:rFonts w:ascii="Verdana" w:hAnsi="Verdana"/>
    </w:rPr>
  </w:style>
  <w:style w:type="paragraph" w:customStyle="1" w:styleId="List1">
    <w:name w:val="List 1"/>
    <w:basedOn w:val="Normale"/>
    <w:next w:val="Normale"/>
    <w:link w:val="List1Char"/>
    <w:semiHidden/>
    <w:pPr>
      <w:spacing w:after="240"/>
      <w:ind w:left="357" w:hanging="357"/>
      <w:jc w:val="both"/>
    </w:pPr>
    <w:rPr>
      <w:rFonts w:ascii="Verdana" w:hAnsi="Verdana"/>
    </w:rPr>
  </w:style>
  <w:style w:type="character" w:customStyle="1" w:styleId="List1Char">
    <w:name w:val="List 1 Char"/>
    <w:link w:val="List1"/>
    <w:rPr>
      <w:rFonts w:ascii="Verdana" w:hAnsi="Verdana"/>
      <w:sz w:val="24"/>
      <w:szCs w:val="24"/>
      <w:lang w:val="it-IT" w:eastAsia="it-IT" w:bidi="ar-SA"/>
    </w:rPr>
  </w:style>
  <w:style w:type="table" w:styleId="Grigliatabella">
    <w:name w:val="Table Grid"/>
    <w:basedOn w:val="Tabellanormale"/>
    <w:semiHidden/>
    <w:pPr>
      <w:spacing w:after="24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Corpodeltesto2">
    <w:name w:val="WW-Corpo del testo 2"/>
    <w:basedOn w:val="Normale"/>
    <w:semiHidden/>
    <w:pPr>
      <w:suppressAutoHyphens/>
      <w:autoSpaceDE w:val="0"/>
      <w:spacing w:line="360" w:lineRule="auto"/>
      <w:jc w:val="both"/>
    </w:pPr>
    <w:rPr>
      <w:rFonts w:ascii="Arial" w:hAnsi="Arial" w:cs="Arial"/>
      <w:noProof/>
      <w:sz w:val="22"/>
      <w:szCs w:val="22"/>
      <w:lang w:eastAsia="it-IT"/>
    </w:rPr>
  </w:style>
  <w:style w:type="paragraph" w:styleId="Corpodeltesto2">
    <w:name w:val="Body Text 2"/>
    <w:basedOn w:val="Normale"/>
    <w:link w:val="Corpodeltesto2Carattere"/>
    <w:semiHidden/>
    <w:pPr>
      <w:jc w:val="both"/>
    </w:pPr>
    <w:rPr>
      <w:b/>
      <w:bCs/>
      <w:lang w:bidi="he-IL"/>
    </w:rPr>
  </w:style>
  <w:style w:type="character" w:customStyle="1" w:styleId="Corpodeltesto2Carattere">
    <w:name w:val="Corpo del testo 2 Carattere"/>
    <w:link w:val="Corpodeltesto2"/>
    <w:rPr>
      <w:b/>
      <w:bCs/>
      <w:sz w:val="24"/>
      <w:szCs w:val="24"/>
      <w:lang w:val="it-IT" w:eastAsia="it-IT" w:bidi="he-IL"/>
    </w:rPr>
  </w:style>
  <w:style w:type="paragraph" w:customStyle="1" w:styleId="Atestfinartcvo">
    <w:name w:val="A test fin art c.vo"/>
    <w:basedOn w:val="Normale"/>
    <w:pPr>
      <w:tabs>
        <w:tab w:val="center" w:pos="6663"/>
      </w:tabs>
      <w:spacing w:line="216" w:lineRule="exact"/>
    </w:pPr>
    <w:rPr>
      <w:i/>
      <w:iCs/>
      <w:sz w:val="18"/>
      <w:lang w:eastAsia="ar-SA"/>
    </w:rPr>
  </w:style>
  <w:style w:type="paragraph" w:customStyle="1" w:styleId="AAutorefinearticolo">
    <w:name w:val="A Autore fine articolo"/>
    <w:basedOn w:val="Normale"/>
    <w:pPr>
      <w:tabs>
        <w:tab w:val="center" w:pos="6663"/>
      </w:tabs>
      <w:suppressAutoHyphens/>
      <w:spacing w:line="216" w:lineRule="exact"/>
    </w:pPr>
    <w:rPr>
      <w:rFonts w:ascii="Garamond" w:hAnsi="Garamond"/>
      <w:smallCaps/>
      <w:color w:val="000000"/>
      <w:sz w:val="20"/>
      <w:szCs w:val="20"/>
      <w:lang w:eastAsia="ar-SA"/>
    </w:rPr>
  </w:style>
  <w:style w:type="paragraph" w:styleId="Rientrocorpodeltesto3">
    <w:name w:val="Body Text Indent 3"/>
    <w:basedOn w:val="Normale"/>
    <w:semiHidden/>
    <w:pPr>
      <w:widowControl w:val="0"/>
      <w:adjustRightInd w:val="0"/>
      <w:ind w:firstLine="360"/>
      <w:jc w:val="both"/>
      <w:textAlignment w:val="baseline"/>
    </w:pPr>
    <w:rPr>
      <w:rFonts w:ascii="Garamond" w:hAnsi="Garamond"/>
      <w:sz w:val="28"/>
      <w:u w:val="single"/>
    </w:rPr>
  </w:style>
  <w:style w:type="character" w:styleId="Numeroriga">
    <w:name w:val="line number"/>
    <w:basedOn w:val="Carpredefinitoparagrafo"/>
    <w:semiHidden/>
  </w:style>
  <w:style w:type="paragraph" w:customStyle="1" w:styleId="ACitazionerivista">
    <w:name w:val="ACitazione rivista"/>
    <w:basedOn w:val="ATesto"/>
    <w:qFormat/>
    <w:rsid w:val="00645B5B"/>
    <w:pPr>
      <w:ind w:left="4820" w:firstLine="0"/>
    </w:pPr>
    <w:rPr>
      <w:i/>
      <w:sz w:val="20"/>
      <w:lang w:val="it-IT"/>
    </w:rPr>
  </w:style>
  <w:style w:type="paragraph" w:customStyle="1" w:styleId="AElencoPuntato">
    <w:name w:val="AElencoPuntato"/>
    <w:basedOn w:val="ATesto"/>
    <w:rsid w:val="00F8013C"/>
    <w:pPr>
      <w:numPr>
        <w:numId w:val="2"/>
      </w:numPr>
    </w:pPr>
    <w:rPr>
      <w:lang w:val="it-IT"/>
    </w:rPr>
  </w:style>
  <w:style w:type="paragraph" w:customStyle="1" w:styleId="ABibliografia">
    <w:name w:val="ABibliografia"/>
    <w:basedOn w:val="Normale"/>
    <w:link w:val="ABibliografiaCarattere"/>
    <w:rsid w:val="005E39EB"/>
    <w:pPr>
      <w:widowControl w:val="0"/>
      <w:suppressAutoHyphens/>
      <w:spacing w:line="180" w:lineRule="exact"/>
    </w:pPr>
    <w:rPr>
      <w:rFonts w:ascii="Garamond" w:hAnsi="Garamond"/>
      <w:sz w:val="16"/>
      <w:szCs w:val="16"/>
      <w:lang w:val="en-GB"/>
    </w:rPr>
  </w:style>
  <w:style w:type="character" w:customStyle="1" w:styleId="ABIBLIOGRAFIANOMIAUTORI">
    <w:name w:val="ABIBLIOGRAFIA NOMI AUTORI"/>
    <w:rsid w:val="005E39EB"/>
    <w:rPr>
      <w:rFonts w:ascii="Garamond" w:hAnsi="Garamond"/>
      <w:dstrike w:val="0"/>
      <w:sz w:val="16"/>
      <w:vertAlign w:val="baseline"/>
    </w:rPr>
  </w:style>
  <w:style w:type="paragraph" w:customStyle="1" w:styleId="ABibliografiaTitolo">
    <w:name w:val="ABibliografiaTitolo"/>
    <w:basedOn w:val="ASottotitolo"/>
    <w:rsid w:val="00F8013C"/>
    <w:rPr>
      <w:lang w:val="en-GB" w:eastAsia="en-US"/>
    </w:rPr>
  </w:style>
  <w:style w:type="paragraph" w:customStyle="1" w:styleId="AElencoTrattini">
    <w:name w:val="AElencoTrattini"/>
    <w:basedOn w:val="ATesto"/>
    <w:rsid w:val="00342645"/>
    <w:pPr>
      <w:numPr>
        <w:numId w:val="3"/>
      </w:numPr>
    </w:pPr>
  </w:style>
  <w:style w:type="paragraph" w:customStyle="1" w:styleId="AElencoLettere">
    <w:name w:val="AElencoLettere"/>
    <w:basedOn w:val="ATesto"/>
    <w:rsid w:val="004207F8"/>
    <w:pPr>
      <w:widowControl/>
      <w:numPr>
        <w:ilvl w:val="1"/>
        <w:numId w:val="4"/>
      </w:numPr>
    </w:pPr>
    <w:rPr>
      <w:noProof/>
      <w:lang w:val="it-IT"/>
    </w:rPr>
  </w:style>
  <w:style w:type="paragraph" w:customStyle="1" w:styleId="AElencoNumerato">
    <w:name w:val="AElencoNumerato"/>
    <w:basedOn w:val="ATesto"/>
    <w:rsid w:val="00380415"/>
    <w:pPr>
      <w:widowControl/>
      <w:numPr>
        <w:numId w:val="12"/>
      </w:numPr>
    </w:pPr>
    <w:rPr>
      <w:noProof/>
      <w:lang w:val="it-IT"/>
    </w:rPr>
  </w:style>
  <w:style w:type="character" w:customStyle="1" w:styleId="ANoteApice">
    <w:name w:val="ANoteApice"/>
    <w:rsid w:val="006651A8"/>
    <w:rPr>
      <w:rFonts w:ascii="Garamond" w:hAnsi="Garamond" w:cs="Arial"/>
      <w:b/>
      <w:color w:val="000000"/>
      <w:spacing w:val="-2"/>
      <w:sz w:val="20"/>
      <w:szCs w:val="18"/>
      <w:vertAlign w:val="superscript"/>
      <w:lang w:val="it-IT" w:eastAsia="it-IT" w:bidi="ar-SA"/>
    </w:rPr>
  </w:style>
  <w:style w:type="character" w:customStyle="1" w:styleId="ATestoCarRidotto">
    <w:name w:val="ATestoCarRidotto"/>
    <w:rsid w:val="006651A8"/>
    <w:rPr>
      <w:spacing w:val="-4"/>
    </w:rPr>
  </w:style>
  <w:style w:type="character" w:customStyle="1" w:styleId="AtestoPRidottoCarattere">
    <w:name w:val="AtestoPRidotto Carattere"/>
    <w:basedOn w:val="ATestoCarattere1"/>
    <w:link w:val="AtestoPRidotto"/>
    <w:rsid w:val="006651A8"/>
  </w:style>
  <w:style w:type="paragraph" w:customStyle="1" w:styleId="AtestoPRidotto">
    <w:name w:val="AtestoPRidotto"/>
    <w:basedOn w:val="ATesto"/>
    <w:link w:val="AtestoPRidottoCarattere"/>
    <w:rsid w:val="006651A8"/>
    <w:pPr>
      <w:spacing w:line="220" w:lineRule="exact"/>
    </w:pPr>
  </w:style>
  <w:style w:type="paragraph" w:customStyle="1" w:styleId="ASottoSottotitolo">
    <w:name w:val="ASottoSottotitolo"/>
    <w:basedOn w:val="ATesto"/>
    <w:next w:val="ATesto"/>
    <w:rsid w:val="000D4631"/>
    <w:pPr>
      <w:numPr>
        <w:ilvl w:val="1"/>
        <w:numId w:val="19"/>
      </w:numPr>
      <w:spacing w:before="240" w:after="80" w:line="280" w:lineRule="exact"/>
      <w:outlineLvl w:val="0"/>
    </w:pPr>
    <w:rPr>
      <w:b/>
      <w:i/>
    </w:rPr>
  </w:style>
  <w:style w:type="paragraph" w:customStyle="1" w:styleId="AFigure">
    <w:name w:val="AFigure"/>
    <w:basedOn w:val="ASottotitolo"/>
    <w:rsid w:val="00CB5F86"/>
    <w:pPr>
      <w:suppressAutoHyphens/>
      <w:spacing w:before="0" w:after="100"/>
      <w:jc w:val="center"/>
    </w:pPr>
    <w:rPr>
      <w:iCs/>
      <w:sz w:val="23"/>
    </w:rPr>
  </w:style>
  <w:style w:type="paragraph" w:customStyle="1" w:styleId="ANotecorsivo">
    <w:name w:val="ANotecorsivo"/>
    <w:basedOn w:val="ANote"/>
    <w:link w:val="ANotecorsivoCarattere"/>
    <w:rsid w:val="00C1723F"/>
    <w:rPr>
      <w:i/>
      <w:noProof/>
    </w:rPr>
  </w:style>
  <w:style w:type="paragraph" w:customStyle="1" w:styleId="Capoverso">
    <w:name w:val="Capoverso"/>
    <w:semiHidden/>
    <w:rsid w:val="00671326"/>
    <w:pPr>
      <w:widowControl w:val="0"/>
      <w:spacing w:line="260" w:lineRule="exact"/>
      <w:ind w:firstLine="284"/>
      <w:jc w:val="both"/>
    </w:pPr>
    <w:rPr>
      <w:sz w:val="23"/>
    </w:rPr>
  </w:style>
  <w:style w:type="character" w:customStyle="1" w:styleId="CarattereCarattere4">
    <w:name w:val=" Carattere Carattere4"/>
    <w:semiHidden/>
    <w:locked/>
    <w:rsid w:val="00671326"/>
    <w:rPr>
      <w:spacing w:val="-4"/>
    </w:rPr>
  </w:style>
  <w:style w:type="character" w:customStyle="1" w:styleId="ANotecorsivoCarattere">
    <w:name w:val="ANotecorsivo Carattere"/>
    <w:link w:val="ANotecorsivo"/>
    <w:rsid w:val="003A7132"/>
    <w:rPr>
      <w:rFonts w:ascii="Garamond" w:hAnsi="Garamond" w:cs="Arial"/>
      <w:i/>
      <w:noProof/>
      <w:color w:val="000000"/>
      <w:spacing w:val="-2"/>
      <w:sz w:val="18"/>
      <w:szCs w:val="18"/>
      <w:lang w:val="it-IT" w:eastAsia="it-IT" w:bidi="ar-SA"/>
    </w:rPr>
  </w:style>
  <w:style w:type="character" w:customStyle="1" w:styleId="CarattereCarattere5">
    <w:name w:val=" Carattere Carattere5"/>
    <w:semiHidden/>
    <w:rsid w:val="00E853FC"/>
    <w:rPr>
      <w:sz w:val="23"/>
      <w:lang w:bidi="ar-SA"/>
    </w:rPr>
  </w:style>
  <w:style w:type="character" w:customStyle="1" w:styleId="Abibliografiacorsivo">
    <w:name w:val="Abibliografia corsivo"/>
    <w:rsid w:val="00B23EC8"/>
    <w:rPr>
      <w:rFonts w:ascii="Garamond" w:hAnsi="Garamond" w:cs="Arial"/>
      <w:i/>
      <w:color w:val="000000"/>
      <w:sz w:val="16"/>
      <w:szCs w:val="16"/>
    </w:rPr>
  </w:style>
  <w:style w:type="character" w:customStyle="1" w:styleId="ATestocorsivo">
    <w:name w:val="ATesto corsivo"/>
    <w:rsid w:val="00B23EC8"/>
    <w:rPr>
      <w:i/>
      <w:noProof/>
    </w:rPr>
  </w:style>
  <w:style w:type="character" w:customStyle="1" w:styleId="catgram">
    <w:name w:val="catgram"/>
    <w:basedOn w:val="Carpredefinitoparagrafo"/>
    <w:semiHidden/>
    <w:rsid w:val="00B23EC8"/>
  </w:style>
  <w:style w:type="character" w:customStyle="1" w:styleId="Rimandonotaapidipagina1">
    <w:name w:val="Rimando nota a piè di pagina1"/>
    <w:semiHidden/>
    <w:rsid w:val="00B23EC8"/>
    <w:rPr>
      <w:vertAlign w:val="superscript"/>
    </w:rPr>
  </w:style>
  <w:style w:type="character" w:customStyle="1" w:styleId="ABibliografiaCarattere">
    <w:name w:val="ABibliografia Carattere"/>
    <w:link w:val="ABibliografia"/>
    <w:rsid w:val="005E39EB"/>
    <w:rPr>
      <w:rFonts w:ascii="Garamond" w:hAnsi="Garamond"/>
      <w:sz w:val="16"/>
      <w:szCs w:val="16"/>
      <w:lang w:val="en-GB" w:eastAsia="it-IT" w:bidi="ar-SA"/>
    </w:rPr>
  </w:style>
  <w:style w:type="character" w:customStyle="1" w:styleId="Absatz-Standardschriftart">
    <w:name w:val="Absatz-Standardschriftart"/>
    <w:rsid w:val="00A73FE4"/>
  </w:style>
  <w:style w:type="character" w:customStyle="1" w:styleId="WW-Absatz-Standardschriftart">
    <w:name w:val="WW-Absatz-Standardschriftart"/>
    <w:semiHidden/>
    <w:rsid w:val="00A73FE4"/>
  </w:style>
  <w:style w:type="character" w:customStyle="1" w:styleId="WW-Absatz-Standardschriftart1">
    <w:name w:val="WW-Absatz-Standardschriftart1"/>
    <w:semiHidden/>
    <w:rsid w:val="00A73FE4"/>
  </w:style>
  <w:style w:type="character" w:customStyle="1" w:styleId="WW-Absatz-Standardschriftart11">
    <w:name w:val="WW-Absatz-Standardschriftart11"/>
    <w:semiHidden/>
    <w:rsid w:val="00A73FE4"/>
  </w:style>
  <w:style w:type="character" w:customStyle="1" w:styleId="WW-Absatz-Standardschriftart111">
    <w:name w:val="WW-Absatz-Standardschriftart111"/>
    <w:semiHidden/>
    <w:rsid w:val="00A73FE4"/>
  </w:style>
  <w:style w:type="character" w:customStyle="1" w:styleId="WW-Absatz-Standardschriftart1111">
    <w:name w:val="WW-Absatz-Standardschriftart1111"/>
    <w:semiHidden/>
    <w:rsid w:val="00A73FE4"/>
  </w:style>
  <w:style w:type="character" w:customStyle="1" w:styleId="WW-Absatz-Standardschriftart11111">
    <w:name w:val="WW-Absatz-Standardschriftart11111"/>
    <w:semiHidden/>
    <w:rsid w:val="00A73FE4"/>
  </w:style>
  <w:style w:type="character" w:customStyle="1" w:styleId="WW-Absatz-Standardschriftart111111">
    <w:name w:val="WW-Absatz-Standardschriftart111111"/>
    <w:semiHidden/>
    <w:rsid w:val="00A73FE4"/>
  </w:style>
  <w:style w:type="character" w:customStyle="1" w:styleId="WW-Absatz-Standardschriftart1111111">
    <w:name w:val="WW-Absatz-Standardschriftart1111111"/>
    <w:semiHidden/>
    <w:rsid w:val="00A73FE4"/>
  </w:style>
  <w:style w:type="character" w:customStyle="1" w:styleId="WW-Absatz-Standardschriftart11111111">
    <w:name w:val="WW-Absatz-Standardschriftart11111111"/>
    <w:semiHidden/>
    <w:rsid w:val="00A73FE4"/>
  </w:style>
  <w:style w:type="character" w:customStyle="1" w:styleId="WW-Absatz-Standardschriftart111111111">
    <w:name w:val="WW-Absatz-Standardschriftart111111111"/>
    <w:semiHidden/>
    <w:rsid w:val="00A73FE4"/>
  </w:style>
  <w:style w:type="character" w:customStyle="1" w:styleId="WW-Absatz-Standardschriftart1111111111">
    <w:name w:val="WW-Absatz-Standardschriftart1111111111"/>
    <w:semiHidden/>
    <w:rsid w:val="00A73FE4"/>
  </w:style>
  <w:style w:type="character" w:customStyle="1" w:styleId="WW-Absatz-Standardschriftart11111111111">
    <w:name w:val="WW-Absatz-Standardschriftart11111111111"/>
    <w:semiHidden/>
    <w:rsid w:val="00A73FE4"/>
  </w:style>
  <w:style w:type="character" w:customStyle="1" w:styleId="WW-Absatz-Standardschriftart111111111111">
    <w:name w:val="WW-Absatz-Standardschriftart111111111111"/>
    <w:semiHidden/>
    <w:rsid w:val="00A73FE4"/>
  </w:style>
  <w:style w:type="character" w:customStyle="1" w:styleId="WW-Absatz-Standardschriftart1111111111111">
    <w:name w:val="WW-Absatz-Standardschriftart1111111111111"/>
    <w:semiHidden/>
    <w:rsid w:val="00A73FE4"/>
  </w:style>
  <w:style w:type="character" w:customStyle="1" w:styleId="WW-Absatz-Standardschriftart11111111111111">
    <w:name w:val="WW-Absatz-Standardschriftart11111111111111"/>
    <w:semiHidden/>
    <w:rsid w:val="00A73FE4"/>
  </w:style>
  <w:style w:type="character" w:customStyle="1" w:styleId="WW-Absatz-Standardschriftart111111111111111">
    <w:name w:val="WW-Absatz-Standardschriftart111111111111111"/>
    <w:semiHidden/>
    <w:rsid w:val="00A73FE4"/>
  </w:style>
  <w:style w:type="character" w:customStyle="1" w:styleId="WW-Absatz-Standardschriftart1111111111111111">
    <w:name w:val="WW-Absatz-Standardschriftart1111111111111111"/>
    <w:semiHidden/>
    <w:rsid w:val="00A73FE4"/>
  </w:style>
  <w:style w:type="character" w:customStyle="1" w:styleId="WW-Absatz-Standardschriftart11111111111111111">
    <w:name w:val="WW-Absatz-Standardschriftart11111111111111111"/>
    <w:semiHidden/>
    <w:rsid w:val="00A73FE4"/>
  </w:style>
  <w:style w:type="character" w:customStyle="1" w:styleId="WW-Absatz-Standardschriftart111111111111111111">
    <w:name w:val="WW-Absatz-Standardschriftart111111111111111111"/>
    <w:semiHidden/>
    <w:rsid w:val="00A73FE4"/>
  </w:style>
  <w:style w:type="character" w:customStyle="1" w:styleId="WW-Absatz-Standardschriftart1111111111111111111">
    <w:name w:val="WW-Absatz-Standardschriftart1111111111111111111"/>
    <w:semiHidden/>
    <w:rsid w:val="00A73FE4"/>
  </w:style>
  <w:style w:type="character" w:customStyle="1" w:styleId="WW-Absatz-Standardschriftart11111111111111111111">
    <w:name w:val="WW-Absatz-Standardschriftart11111111111111111111"/>
    <w:semiHidden/>
    <w:rsid w:val="00A73FE4"/>
  </w:style>
  <w:style w:type="character" w:customStyle="1" w:styleId="WW-Absatz-Standardschriftart111111111111111111111">
    <w:name w:val="WW-Absatz-Standardschriftart111111111111111111111"/>
    <w:semiHidden/>
    <w:rsid w:val="00A73FE4"/>
  </w:style>
  <w:style w:type="character" w:customStyle="1" w:styleId="WW-Absatz-Standardschriftart1111111111111111111111">
    <w:name w:val="WW-Absatz-Standardschriftart1111111111111111111111"/>
    <w:semiHidden/>
    <w:rsid w:val="00A73FE4"/>
  </w:style>
  <w:style w:type="character" w:customStyle="1" w:styleId="Carpredefinitoparagrafo1">
    <w:name w:val="Car. predefinito paragrafo1"/>
    <w:semiHidden/>
    <w:rsid w:val="00A73FE4"/>
  </w:style>
  <w:style w:type="character" w:customStyle="1" w:styleId="WW-Absatz-Standardschriftart11111111111111111111111">
    <w:name w:val="WW-Absatz-Standardschriftart11111111111111111111111"/>
    <w:semiHidden/>
    <w:rsid w:val="00A73FE4"/>
  </w:style>
  <w:style w:type="character" w:customStyle="1" w:styleId="WW-Absatz-Standardschriftart111111111111111111111111">
    <w:name w:val="WW-Absatz-Standardschriftart111111111111111111111111"/>
    <w:semiHidden/>
    <w:rsid w:val="00A73FE4"/>
  </w:style>
  <w:style w:type="character" w:customStyle="1" w:styleId="WW-Absatz-Standardschriftart1111111111111111111111111">
    <w:name w:val="WW-Absatz-Standardschriftart1111111111111111111111111"/>
    <w:semiHidden/>
    <w:rsid w:val="00A73FE4"/>
  </w:style>
  <w:style w:type="character" w:customStyle="1" w:styleId="WW-Absatz-Standardschriftart11111111111111111111111111">
    <w:name w:val="WW-Absatz-Standardschriftart11111111111111111111111111"/>
    <w:semiHidden/>
    <w:rsid w:val="00A73FE4"/>
  </w:style>
  <w:style w:type="character" w:customStyle="1" w:styleId="WW-Absatz-Standardschriftart111111111111111111111111111">
    <w:name w:val="WW-Absatz-Standardschriftart111111111111111111111111111"/>
    <w:semiHidden/>
    <w:rsid w:val="00A73FE4"/>
  </w:style>
  <w:style w:type="character" w:customStyle="1" w:styleId="WW-Absatz-Standardschriftart1111111111111111111111111111">
    <w:name w:val="WW-Absatz-Standardschriftart1111111111111111111111111111"/>
    <w:semiHidden/>
    <w:rsid w:val="00A73FE4"/>
  </w:style>
  <w:style w:type="character" w:customStyle="1" w:styleId="WW-Absatz-Standardschriftart11111111111111111111111111111">
    <w:name w:val="WW-Absatz-Standardschriftart11111111111111111111111111111"/>
    <w:semiHidden/>
    <w:rsid w:val="00A73FE4"/>
  </w:style>
  <w:style w:type="character" w:customStyle="1" w:styleId="WW-Absatz-Standardschriftart111111111111111111111111111111">
    <w:name w:val="WW-Absatz-Standardschriftart111111111111111111111111111111"/>
    <w:semiHidden/>
    <w:rsid w:val="00A73FE4"/>
  </w:style>
  <w:style w:type="character" w:customStyle="1" w:styleId="WW-Absatz-Standardschriftart1111111111111111111111111111111">
    <w:name w:val="WW-Absatz-Standardschriftart1111111111111111111111111111111"/>
    <w:semiHidden/>
    <w:rsid w:val="00A73FE4"/>
  </w:style>
  <w:style w:type="character" w:customStyle="1" w:styleId="WW-Absatz-Standardschriftart11111111111111111111111111111111">
    <w:name w:val="WW-Absatz-Standardschriftart11111111111111111111111111111111"/>
    <w:semiHidden/>
    <w:rsid w:val="00A73FE4"/>
  </w:style>
  <w:style w:type="character" w:customStyle="1" w:styleId="WW-Absatz-Standardschriftart111111111111111111111111111111111">
    <w:name w:val="WW-Absatz-Standardschriftart111111111111111111111111111111111"/>
    <w:semiHidden/>
    <w:rsid w:val="00A73FE4"/>
  </w:style>
  <w:style w:type="character" w:customStyle="1" w:styleId="WW-Absatz-Standardschriftart1111111111111111111111111111111111">
    <w:name w:val="WW-Absatz-Standardschriftart1111111111111111111111111111111111"/>
    <w:semiHidden/>
    <w:rsid w:val="00A73FE4"/>
  </w:style>
  <w:style w:type="character" w:customStyle="1" w:styleId="WW-Absatz-Standardschriftart11111111111111111111111111111111111">
    <w:name w:val="WW-Absatz-Standardschriftart11111111111111111111111111111111111"/>
    <w:semiHidden/>
    <w:rsid w:val="00A73FE4"/>
  </w:style>
  <w:style w:type="character" w:customStyle="1" w:styleId="WW-Absatz-Standardschriftart111111111111111111111111111111111111">
    <w:name w:val="WW-Absatz-Standardschriftart111111111111111111111111111111111111"/>
    <w:semiHidden/>
    <w:rsid w:val="00A73FE4"/>
  </w:style>
  <w:style w:type="character" w:customStyle="1" w:styleId="WW-Absatz-Standardschriftart1111111111111111111111111111111111111">
    <w:name w:val="WW-Absatz-Standardschriftart1111111111111111111111111111111111111"/>
    <w:semiHidden/>
    <w:rsid w:val="00A73FE4"/>
  </w:style>
  <w:style w:type="character" w:customStyle="1" w:styleId="WW-Absatz-Standardschriftart11111111111111111111111111111111111111">
    <w:name w:val="WW-Absatz-Standardschriftart11111111111111111111111111111111111111"/>
    <w:semiHidden/>
    <w:rsid w:val="00A73FE4"/>
  </w:style>
  <w:style w:type="character" w:customStyle="1" w:styleId="WW-Absatz-Standardschriftart111111111111111111111111111111111111111">
    <w:name w:val="WW-Absatz-Standardschriftart111111111111111111111111111111111111111"/>
    <w:semiHidden/>
    <w:rsid w:val="00A73FE4"/>
  </w:style>
  <w:style w:type="character" w:customStyle="1" w:styleId="WW-Absatz-Standardschriftart1111111111111111111111111111111111111111">
    <w:name w:val="WW-Absatz-Standardschriftart1111111111111111111111111111111111111111"/>
    <w:semiHidden/>
    <w:rsid w:val="00A73FE4"/>
  </w:style>
  <w:style w:type="character" w:customStyle="1" w:styleId="WW-Absatz-Standardschriftart11111111111111111111111111111111111111111">
    <w:name w:val="WW-Absatz-Standardschriftart11111111111111111111111111111111111111111"/>
    <w:semiHidden/>
    <w:rsid w:val="00A73FE4"/>
  </w:style>
  <w:style w:type="character" w:customStyle="1" w:styleId="WW-Absatz-Standardschriftart111111111111111111111111111111111111111111">
    <w:name w:val="WW-Absatz-Standardschriftart111111111111111111111111111111111111111111"/>
    <w:semiHidden/>
    <w:rsid w:val="00A73FE4"/>
  </w:style>
  <w:style w:type="character" w:customStyle="1" w:styleId="WW-Absatz-Standardschriftart1111111111111111111111111111111111111111111">
    <w:name w:val="WW-Absatz-Standardschriftart1111111111111111111111111111111111111111111"/>
    <w:semiHidden/>
    <w:rsid w:val="00A73FE4"/>
  </w:style>
  <w:style w:type="character" w:customStyle="1" w:styleId="WW-Absatz-Standardschriftart11111111111111111111111111111111111111111111">
    <w:name w:val="WW-Absatz-Standardschriftart11111111111111111111111111111111111111111111"/>
    <w:semiHidden/>
    <w:rsid w:val="00A73FE4"/>
  </w:style>
  <w:style w:type="character" w:customStyle="1" w:styleId="WW-Absatz-Standardschriftart111111111111111111111111111111111111111111111">
    <w:name w:val="WW-Absatz-Standardschriftart111111111111111111111111111111111111111111111"/>
    <w:semiHidden/>
    <w:rsid w:val="00A73FE4"/>
  </w:style>
  <w:style w:type="character" w:customStyle="1" w:styleId="WW-Absatz-Standardschriftart1111111111111111111111111111111111111111111111">
    <w:name w:val="WW-Absatz-Standardschriftart1111111111111111111111111111111111111111111111"/>
    <w:semiHidden/>
    <w:rsid w:val="00A73FE4"/>
  </w:style>
  <w:style w:type="character" w:customStyle="1" w:styleId="WW-Absatz-Standardschriftart11111111111111111111111111111111111111111111111">
    <w:name w:val="WW-Absatz-Standardschriftart11111111111111111111111111111111111111111111111"/>
    <w:semiHidden/>
    <w:rsid w:val="00A73FE4"/>
  </w:style>
  <w:style w:type="character" w:customStyle="1" w:styleId="WW-Absatz-Standardschriftart111111111111111111111111111111111111111111111111">
    <w:name w:val="WW-Absatz-Standardschriftart111111111111111111111111111111111111111111111111"/>
    <w:semiHidden/>
    <w:rsid w:val="00A73FE4"/>
  </w:style>
  <w:style w:type="character" w:customStyle="1" w:styleId="WW-Absatz-Standardschriftart1111111111111111111111111111111111111111111111111">
    <w:name w:val="WW-Absatz-Standardschriftart1111111111111111111111111111111111111111111111111"/>
    <w:semiHidden/>
    <w:rsid w:val="00A73FE4"/>
  </w:style>
  <w:style w:type="character" w:customStyle="1" w:styleId="WW-Absatz-Standardschriftart11111111111111111111111111111111111111111111111111">
    <w:name w:val="WW-Absatz-Standardschriftart11111111111111111111111111111111111111111111111111"/>
    <w:semiHidden/>
    <w:rsid w:val="00A73FE4"/>
  </w:style>
  <w:style w:type="character" w:customStyle="1" w:styleId="WW-Absatz-Standardschriftart111111111111111111111111111111111111111111111111111">
    <w:name w:val="WW-Absatz-Standardschriftart111111111111111111111111111111111111111111111111111"/>
    <w:semiHidden/>
    <w:rsid w:val="00A73FE4"/>
  </w:style>
  <w:style w:type="character" w:customStyle="1" w:styleId="WW-Absatz-Standardschriftart1111111111111111111111111111111111111111111111111111">
    <w:name w:val="WW-Absatz-Standardschriftart1111111111111111111111111111111111111111111111111111"/>
    <w:semiHidden/>
    <w:rsid w:val="00A73FE4"/>
  </w:style>
  <w:style w:type="character" w:customStyle="1" w:styleId="WW-Absatz-Standardschriftart11111111111111111111111111111111111111111111111111111">
    <w:name w:val="WW-Absatz-Standardschriftart11111111111111111111111111111111111111111111111111111"/>
    <w:semiHidden/>
    <w:rsid w:val="00A73FE4"/>
  </w:style>
  <w:style w:type="character" w:customStyle="1" w:styleId="WW-Absatz-Standardschriftart111111111111111111111111111111111111111111111111111111">
    <w:name w:val="WW-Absatz-Standardschriftart111111111111111111111111111111111111111111111111111111"/>
    <w:semiHidden/>
    <w:rsid w:val="00A73FE4"/>
  </w:style>
  <w:style w:type="character" w:customStyle="1" w:styleId="WW-Absatz-Standardschriftart1111111111111111111111111111111111111111111111111111111">
    <w:name w:val="WW-Absatz-Standardschriftart1111111111111111111111111111111111111111111111111111111"/>
    <w:semiHidden/>
    <w:rsid w:val="00A73FE4"/>
  </w:style>
  <w:style w:type="character" w:customStyle="1" w:styleId="WW-Absatz-Standardschriftart11111111111111111111111111111111111111111111111111111111">
    <w:name w:val="WW-Absatz-Standardschriftart11111111111111111111111111111111111111111111111111111111"/>
    <w:semiHidden/>
    <w:rsid w:val="00A73FE4"/>
  </w:style>
  <w:style w:type="character" w:customStyle="1" w:styleId="WW-Absatz-Standardschriftart111111111111111111111111111111111111111111111111111111111">
    <w:name w:val="WW-Absatz-Standardschriftart111111111111111111111111111111111111111111111111111111111"/>
    <w:semiHidden/>
    <w:rsid w:val="00A73FE4"/>
  </w:style>
  <w:style w:type="character" w:customStyle="1" w:styleId="WW-Absatz-Standardschriftart1111111111111111111111111111111111111111111111111111111111">
    <w:name w:val="WW-Absatz-Standardschriftart1111111111111111111111111111111111111111111111111111111111"/>
    <w:semiHidden/>
    <w:rsid w:val="00A73FE4"/>
  </w:style>
  <w:style w:type="character" w:customStyle="1" w:styleId="WW-Absatz-Standardschriftart11111111111111111111111111111111111111111111111111111111111">
    <w:name w:val="WW-Absatz-Standardschriftart11111111111111111111111111111111111111111111111111111111111"/>
    <w:semiHidden/>
    <w:rsid w:val="00A73FE4"/>
  </w:style>
  <w:style w:type="character" w:customStyle="1" w:styleId="WW-Absatz-Standardschriftart111111111111111111111111111111111111111111111111111111111111">
    <w:name w:val="WW-Absatz-Standardschriftart111111111111111111111111111111111111111111111111111111111111"/>
    <w:semiHidden/>
    <w:rsid w:val="00A73FE4"/>
  </w:style>
  <w:style w:type="character" w:customStyle="1" w:styleId="WW-Absatz-Standardschriftart1111111111111111111111111111111111111111111111111111111111111">
    <w:name w:val="WW-Absatz-Standardschriftart1111111111111111111111111111111111111111111111111111111111111"/>
    <w:semiHidden/>
    <w:rsid w:val="00A73FE4"/>
  </w:style>
  <w:style w:type="character" w:customStyle="1" w:styleId="WW-Absatz-Standardschriftart11111111111111111111111111111111111111111111111111111111111111">
    <w:name w:val="WW-Absatz-Standardschriftart11111111111111111111111111111111111111111111111111111111111111"/>
    <w:semiHidden/>
    <w:rsid w:val="00A73FE4"/>
  </w:style>
  <w:style w:type="character" w:customStyle="1" w:styleId="WW-Absatz-Standardschriftart111111111111111111111111111111111111111111111111111111111111111">
    <w:name w:val="WW-Absatz-Standardschriftart111111111111111111111111111111111111111111111111111111111111111"/>
    <w:semiHidden/>
    <w:rsid w:val="00A73FE4"/>
  </w:style>
  <w:style w:type="character" w:customStyle="1" w:styleId="WW-Absatz-Standardschriftart1111111111111111111111111111111111111111111111111111111111111111">
    <w:name w:val="WW-Absatz-Standardschriftart1111111111111111111111111111111111111111111111111111111111111111"/>
    <w:semiHidden/>
    <w:rsid w:val="00A73FE4"/>
  </w:style>
  <w:style w:type="character" w:customStyle="1" w:styleId="WW-Absatz-Standardschriftart11111111111111111111111111111111111111111111111111111111111111111">
    <w:name w:val="WW-Absatz-Standardschriftart11111111111111111111111111111111111111111111111111111111111111111"/>
    <w:semiHidden/>
    <w:rsid w:val="00A73FE4"/>
  </w:style>
  <w:style w:type="character" w:customStyle="1" w:styleId="WW-Absatz-Standardschriftart111111111111111111111111111111111111111111111111111111111111111111">
    <w:name w:val="WW-Absatz-Standardschriftart111111111111111111111111111111111111111111111111111111111111111111"/>
    <w:semiHidden/>
    <w:rsid w:val="00A73FE4"/>
  </w:style>
  <w:style w:type="character" w:customStyle="1" w:styleId="WW-Absatz-Standardschriftart1111111111111111111111111111111111111111111111111111111111111111111">
    <w:name w:val="WW-Absatz-Standardschriftart1111111111111111111111111111111111111111111111111111111111111111111"/>
    <w:semiHidden/>
    <w:rsid w:val="00A73FE4"/>
  </w:style>
  <w:style w:type="character" w:customStyle="1" w:styleId="WW-Absatz-Standardschriftart11111111111111111111111111111111111111111111111111111111111111111111">
    <w:name w:val="WW-Absatz-Standardschriftart11111111111111111111111111111111111111111111111111111111111111111111"/>
    <w:semiHidden/>
    <w:rsid w:val="00A73FE4"/>
  </w:style>
  <w:style w:type="character" w:customStyle="1" w:styleId="WW-Absatz-Standardschriftart111111111111111111111111111111111111111111111111111111111111111111111">
    <w:name w:val="WW-Absatz-Standardschriftart111111111111111111111111111111111111111111111111111111111111111111111"/>
    <w:semiHidden/>
    <w:rsid w:val="00A73FE4"/>
  </w:style>
  <w:style w:type="character" w:customStyle="1" w:styleId="WW-Absatz-Standardschriftart1111111111111111111111111111111111111111111111111111111111111111111111">
    <w:name w:val="WW-Absatz-Standardschriftart1111111111111111111111111111111111111111111111111111111111111111111111"/>
    <w:semiHidden/>
    <w:rsid w:val="00A73FE4"/>
  </w:style>
  <w:style w:type="character" w:customStyle="1" w:styleId="WW-Absatz-Standardschriftart11111111111111111111111111111111111111111111111111111111111111111111111">
    <w:name w:val="WW-Absatz-Standardschriftart11111111111111111111111111111111111111111111111111111111111111111111111"/>
    <w:semiHidden/>
    <w:rsid w:val="00A73FE4"/>
  </w:style>
  <w:style w:type="character" w:customStyle="1" w:styleId="WW-Absatz-Standardschriftart111111111111111111111111111111111111111111111111111111111111111111111111">
    <w:name w:val="WW-Absatz-Standardschriftart111111111111111111111111111111111111111111111111111111111111111111111111"/>
    <w:semiHidden/>
    <w:rsid w:val="00A73FE4"/>
  </w:style>
  <w:style w:type="character" w:customStyle="1" w:styleId="WW-Absatz-Standardschriftart1111111111111111111111111111111111111111111111111111111111111111111111111">
    <w:name w:val="WW-Absatz-Standardschriftart1111111111111111111111111111111111111111111111111111111111111111111111111"/>
    <w:semiHidden/>
    <w:rsid w:val="00A73FE4"/>
  </w:style>
  <w:style w:type="character" w:customStyle="1" w:styleId="WW-Absatz-Standardschriftart11111111111111111111111111111111111111111111111111111111111111111111111111">
    <w:name w:val="WW-Absatz-Standardschriftart11111111111111111111111111111111111111111111111111111111111111111111111111"/>
    <w:semiHidden/>
    <w:rsid w:val="00A73FE4"/>
  </w:style>
  <w:style w:type="character" w:customStyle="1" w:styleId="WW-Absatz-Standardschriftart111111111111111111111111111111111111111111111111111111111111111111111111111">
    <w:name w:val="WW-Absatz-Standardschriftart111111111111111111111111111111111111111111111111111111111111111111111111111"/>
    <w:semiHidden/>
    <w:rsid w:val="00A73FE4"/>
  </w:style>
  <w:style w:type="character" w:customStyle="1" w:styleId="WW-Absatz-Standardschriftart1111111111111111111111111111111111111111111111111111111111111111111111111111">
    <w:name w:val="WW-Absatz-Standardschriftart1111111111111111111111111111111111111111111111111111111111111111111111111111"/>
    <w:semiHidden/>
    <w:rsid w:val="00A73FE4"/>
  </w:style>
  <w:style w:type="character" w:customStyle="1" w:styleId="WW-Absatz-Standardschriftart11111111111111111111111111111111111111111111111111111111111111111111111111111">
    <w:name w:val="WW-Absatz-Standardschriftart11111111111111111111111111111111111111111111111111111111111111111111111111111"/>
    <w:semiHidden/>
    <w:rsid w:val="00A73FE4"/>
  </w:style>
  <w:style w:type="character" w:customStyle="1" w:styleId="WW-Absatz-Standardschriftart111111111111111111111111111111111111111111111111111111111111111111111111111111">
    <w:name w:val="WW-Absatz-Standardschriftart111111111111111111111111111111111111111111111111111111111111111111111111111111"/>
    <w:semiHidden/>
    <w:rsid w:val="00A73FE4"/>
  </w:style>
  <w:style w:type="character" w:customStyle="1" w:styleId="WW-Absatz-Standardschriftart1111111111111111111111111111111111111111111111111111111111111111111111111111111">
    <w:name w:val="WW-Absatz-Standardschriftart1111111111111111111111111111111111111111111111111111111111111111111111111111111"/>
    <w:semiHidden/>
    <w:rsid w:val="00A73FE4"/>
  </w:style>
  <w:style w:type="character" w:customStyle="1" w:styleId="WW-Absatz-Standardschriftart11111111111111111111111111111111111111111111111111111111111111111111111111111111">
    <w:name w:val="WW-Absatz-Standardschriftart11111111111111111111111111111111111111111111111111111111111111111111111111111111"/>
    <w:semiHidden/>
    <w:rsid w:val="00A73FE4"/>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emiHidden/>
    <w:rsid w:val="00A73FE4"/>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emiHidden/>
    <w:rsid w:val="00A73FE4"/>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emiHidden/>
    <w:rsid w:val="00A73FE4"/>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emiHidden/>
    <w:rsid w:val="00A73FE4"/>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emiHidden/>
    <w:rsid w:val="00A73FE4"/>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emiHidden/>
    <w:rsid w:val="00A73FE4"/>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emiHidden/>
    <w:rsid w:val="00A73FE4"/>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emiHidden/>
    <w:rsid w:val="00A73FE4"/>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emiHidden/>
    <w:rsid w:val="00A73FE4"/>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emiHidden/>
    <w:rsid w:val="00A73FE4"/>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emiHidden/>
    <w:rsid w:val="00A73FE4"/>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emiHidden/>
    <w:rsid w:val="00A73FE4"/>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emiHidden/>
    <w:rsid w:val="00A73FE4"/>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emiHidden/>
    <w:rsid w:val="00A73FE4"/>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emiHidden/>
    <w:rsid w:val="00A73FE4"/>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emiHidden/>
    <w:rsid w:val="00A73FE4"/>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emiHidden/>
    <w:rsid w:val="00A73FE4"/>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emiHidden/>
    <w:rsid w:val="00A73FE4"/>
  </w:style>
  <w:style w:type="character" w:customStyle="1" w:styleId="WW-Caratterenotadichiusura">
    <w:name w:val="WW-Carattere nota di chiusura"/>
    <w:semiHidden/>
    <w:rsid w:val="00A73FE4"/>
  </w:style>
  <w:style w:type="character" w:customStyle="1" w:styleId="Rimandonotadichiusura1">
    <w:name w:val="Rimando nota di chiusura1"/>
    <w:semiHidden/>
    <w:rsid w:val="00A73FE4"/>
    <w:rPr>
      <w:vertAlign w:val="superscript"/>
    </w:rPr>
  </w:style>
  <w:style w:type="character" w:customStyle="1" w:styleId="Caratteredinumerazione">
    <w:name w:val="Carattere di numerazione"/>
    <w:semiHidden/>
    <w:rsid w:val="00A73FE4"/>
  </w:style>
  <w:style w:type="character" w:customStyle="1" w:styleId="TestonotaapidipaginaCarattere">
    <w:name w:val="Testo nota a piè di pagina Carattere"/>
    <w:semiHidden/>
    <w:rsid w:val="00A73FE4"/>
  </w:style>
  <w:style w:type="paragraph" w:customStyle="1" w:styleId="Intestazione2">
    <w:name w:val="Intestazione2"/>
    <w:basedOn w:val="Normale"/>
    <w:next w:val="Corpotesto"/>
    <w:semiHidden/>
    <w:rsid w:val="00A73FE4"/>
    <w:pPr>
      <w:keepNext/>
      <w:suppressAutoHyphens/>
      <w:spacing w:before="240" w:after="120"/>
    </w:pPr>
    <w:rPr>
      <w:rFonts w:ascii="Arial" w:eastAsia="SimSun" w:hAnsi="Arial" w:cs="Mangal"/>
      <w:sz w:val="28"/>
      <w:szCs w:val="28"/>
      <w:lang w:eastAsia="ar-SA"/>
    </w:rPr>
  </w:style>
  <w:style w:type="paragraph" w:customStyle="1" w:styleId="Didascalia2">
    <w:name w:val="Didascalia2"/>
    <w:basedOn w:val="Normale"/>
    <w:semiHidden/>
    <w:rsid w:val="00A73FE4"/>
    <w:pPr>
      <w:suppressLineNumbers/>
      <w:suppressAutoHyphens/>
      <w:spacing w:before="120" w:after="120"/>
    </w:pPr>
    <w:rPr>
      <w:rFonts w:cs="Mangal"/>
      <w:i/>
      <w:iCs/>
      <w:lang w:eastAsia="ar-SA"/>
    </w:rPr>
  </w:style>
  <w:style w:type="paragraph" w:styleId="Sottotitolo">
    <w:name w:val="Subtitle"/>
    <w:basedOn w:val="Intestazione1"/>
    <w:next w:val="Corpotesto"/>
    <w:qFormat/>
    <w:rsid w:val="00A73FE4"/>
    <w:pPr>
      <w:suppressAutoHyphens/>
      <w:jc w:val="center"/>
    </w:pPr>
    <w:rPr>
      <w:rFonts w:eastAsia="SimSun" w:cs="Mangal"/>
      <w:i/>
      <w:iCs/>
      <w:lang w:eastAsia="ar-SA"/>
    </w:rPr>
  </w:style>
  <w:style w:type="paragraph" w:customStyle="1" w:styleId="Contenutocornice">
    <w:name w:val="Contenuto cornice"/>
    <w:basedOn w:val="Corpotesto"/>
    <w:semiHidden/>
    <w:rsid w:val="00A73FE4"/>
    <w:pPr>
      <w:suppressAutoHyphens/>
    </w:pPr>
    <w:rPr>
      <w:lang w:eastAsia="ar-SA"/>
    </w:rPr>
  </w:style>
  <w:style w:type="character" w:customStyle="1" w:styleId="2">
    <w:name w:val="2"/>
    <w:semiHidden/>
    <w:rsid w:val="00A73FE4"/>
    <w:rPr>
      <w:rFonts w:ascii="Times New Roman" w:hAnsi="Times New Roman"/>
      <w:i/>
      <w:dstrike w:val="0"/>
      <w:vertAlign w:val="baseline"/>
    </w:rPr>
  </w:style>
  <w:style w:type="character" w:styleId="Enfasigrassetto">
    <w:name w:val="Strong"/>
    <w:qFormat/>
    <w:rsid w:val="00A73FE4"/>
    <w:rPr>
      <w:b w:val="0"/>
      <w:bCs w:val="0"/>
      <w:i w:val="0"/>
      <w:iCs w:val="0"/>
    </w:rPr>
  </w:style>
  <w:style w:type="paragraph" w:customStyle="1" w:styleId="ATitoloTabella">
    <w:name w:val="ATitoloTabella"/>
    <w:basedOn w:val="Normale"/>
    <w:rsid w:val="006E60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pPr>
    <w:rPr>
      <w:rFonts w:ascii="Garamond" w:hAnsi="Garamond" w:cs="Helvetica Neue"/>
      <w:b/>
      <w:bCs/>
      <w:iCs/>
      <w:sz w:val="22"/>
      <w:szCs w:val="23"/>
    </w:rPr>
  </w:style>
  <w:style w:type="paragraph" w:customStyle="1" w:styleId="ASottotitoloNumerato">
    <w:name w:val="ASottotitoloNumerato"/>
    <w:basedOn w:val="ASottotitolo"/>
    <w:link w:val="ASottotitoloNumeratoCarattereCarattere"/>
    <w:rsid w:val="000D4631"/>
    <w:pPr>
      <w:numPr>
        <w:numId w:val="19"/>
      </w:numPr>
    </w:pPr>
    <w:rPr>
      <w:noProof/>
    </w:rPr>
  </w:style>
  <w:style w:type="character" w:customStyle="1" w:styleId="ASottotitoloNumeratoCarattereCarattere">
    <w:name w:val="ASottotitoloNumerato Carattere Carattere"/>
    <w:link w:val="ASottotitoloNumerato"/>
    <w:rsid w:val="000D4631"/>
    <w:rPr>
      <w:rFonts w:ascii="Garamond" w:hAnsi="Garamond"/>
      <w:b/>
      <w:noProof/>
      <w:sz w:val="24"/>
      <w:lang w:val="it-IT" w:eastAsia="it-IT" w:bidi="ar-SA"/>
    </w:rPr>
  </w:style>
  <w:style w:type="character" w:customStyle="1" w:styleId="ANotaNelTesto">
    <w:name w:val="ANotaNelTesto"/>
    <w:rsid w:val="002C6867"/>
    <w:rPr>
      <w:rFonts w:ascii="(Tipo di carattere testo asiati" w:hAnsi="(Tipo di carattere testo asiati"/>
      <w:sz w:val="18"/>
      <w:szCs w:val="18"/>
      <w:vertAlign w:val="superscript"/>
    </w:rPr>
  </w:style>
  <w:style w:type="paragraph" w:customStyle="1" w:styleId="ListParagraph">
    <w:name w:val="List Paragraph"/>
    <w:basedOn w:val="Normale"/>
    <w:rsid w:val="00024F4F"/>
    <w:pPr>
      <w:spacing w:after="200" w:line="276" w:lineRule="auto"/>
      <w:ind w:left="720"/>
      <w:contextualSpacing/>
    </w:pPr>
    <w:rPr>
      <w:rFonts w:ascii="Calibri" w:hAnsi="Calibri"/>
      <w:sz w:val="22"/>
      <w:szCs w:val="22"/>
      <w:lang w:eastAsia="en-US"/>
    </w:rPr>
  </w:style>
  <w:style w:type="character" w:customStyle="1" w:styleId="FootnoteTextChar">
    <w:name w:val="Footnote Text Char"/>
    <w:locked/>
    <w:rsid w:val="00024F4F"/>
    <w:rPr>
      <w:rFonts w:cs="Times New Roman"/>
      <w:sz w:val="20"/>
      <w:szCs w:val="20"/>
    </w:rPr>
  </w:style>
  <w:style w:type="character" w:customStyle="1" w:styleId="ABibliografiaNomiAutori0">
    <w:name w:val="ABibliografiaNomiAutori"/>
    <w:rsid w:val="00024F4F"/>
    <w:rPr>
      <w:rFonts w:ascii="Garamond" w:hAnsi="Garamond"/>
      <w:smallCaps/>
      <w:sz w:val="16"/>
      <w:vertAlign w:val="baseline"/>
    </w:rPr>
  </w:style>
</w:styles>
</file>

<file path=word/webSettings.xml><?xml version="1.0" encoding="utf-8"?>
<w:webSettings xmlns:r="http://schemas.openxmlformats.org/officeDocument/2006/relationships" xmlns:w="http://schemas.openxmlformats.org/wordprocessingml/2006/main">
  <w:divs>
    <w:div w:id="480123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fac.org"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ssrn.com"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fac.org"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ifac.org" TargetMode="External"/><Relationship Id="rId4" Type="http://schemas.openxmlformats.org/officeDocument/2006/relationships/webSettings" Target="webSettings.xml"/><Relationship Id="rId9" Type="http://schemas.openxmlformats.org/officeDocument/2006/relationships/hyperlink" Target="http://www.ifac.org" TargetMode="External"/><Relationship Id="rId14"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7304</Words>
  <Characters>41634</Characters>
  <Application>Microsoft Office Word</Application>
  <DocSecurity>0</DocSecurity>
  <Lines>346</Lines>
  <Paragraphs>97</Paragraphs>
  <ScaleCrop>false</ScaleCrop>
  <HeadingPairs>
    <vt:vector size="2" baseType="variant">
      <vt:variant>
        <vt:lpstr>Titolo</vt:lpstr>
      </vt:variant>
      <vt:variant>
        <vt:i4>1</vt:i4>
      </vt:variant>
    </vt:vector>
  </HeadingPairs>
  <TitlesOfParts>
    <vt:vector size="1" baseType="lpstr">
      <vt:lpstr>Premessa</vt:lpstr>
    </vt:vector>
  </TitlesOfParts>
  <Company>TOSHIBA</Company>
  <LinksUpToDate>false</LinksUpToDate>
  <CharactersWithSpaces>48841</CharactersWithSpaces>
  <SharedDoc>false</SharedDoc>
  <HLinks>
    <vt:vector size="30" baseType="variant">
      <vt:variant>
        <vt:i4>5242973</vt:i4>
      </vt:variant>
      <vt:variant>
        <vt:i4>12</vt:i4>
      </vt:variant>
      <vt:variant>
        <vt:i4>0</vt:i4>
      </vt:variant>
      <vt:variant>
        <vt:i4>5</vt:i4>
      </vt:variant>
      <vt:variant>
        <vt:lpwstr>http://www.ifac.org/</vt:lpwstr>
      </vt:variant>
      <vt:variant>
        <vt:lpwstr/>
      </vt:variant>
      <vt:variant>
        <vt:i4>5242973</vt:i4>
      </vt:variant>
      <vt:variant>
        <vt:i4>9</vt:i4>
      </vt:variant>
      <vt:variant>
        <vt:i4>0</vt:i4>
      </vt:variant>
      <vt:variant>
        <vt:i4>5</vt:i4>
      </vt:variant>
      <vt:variant>
        <vt:lpwstr>http://www.ifac.org/</vt:lpwstr>
      </vt:variant>
      <vt:variant>
        <vt:lpwstr/>
      </vt:variant>
      <vt:variant>
        <vt:i4>5242973</vt:i4>
      </vt:variant>
      <vt:variant>
        <vt:i4>6</vt:i4>
      </vt:variant>
      <vt:variant>
        <vt:i4>0</vt:i4>
      </vt:variant>
      <vt:variant>
        <vt:i4>5</vt:i4>
      </vt:variant>
      <vt:variant>
        <vt:lpwstr>http://www.ifac.org/</vt:lpwstr>
      </vt:variant>
      <vt:variant>
        <vt:lpwstr/>
      </vt:variant>
      <vt:variant>
        <vt:i4>5242973</vt:i4>
      </vt:variant>
      <vt:variant>
        <vt:i4>3</vt:i4>
      </vt:variant>
      <vt:variant>
        <vt:i4>0</vt:i4>
      </vt:variant>
      <vt:variant>
        <vt:i4>5</vt:i4>
      </vt:variant>
      <vt:variant>
        <vt:lpwstr>http://www.ifac.org/</vt:lpwstr>
      </vt:variant>
      <vt:variant>
        <vt:lpwstr/>
      </vt:variant>
      <vt:variant>
        <vt:i4>4456515</vt:i4>
      </vt:variant>
      <vt:variant>
        <vt:i4>0</vt:i4>
      </vt:variant>
      <vt:variant>
        <vt:i4>0</vt:i4>
      </vt:variant>
      <vt:variant>
        <vt:i4>5</vt:i4>
      </vt:variant>
      <vt:variant>
        <vt:lpwstr>http://www.ssrn.com/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Premessa</dc:title>
  <dc:creator>.</dc:creator>
  <cp:lastModifiedBy>Rossi</cp:lastModifiedBy>
  <cp:revision>2</cp:revision>
  <cp:lastPrinted>2015-02-17T09:29:00Z</cp:lastPrinted>
  <dcterms:created xsi:type="dcterms:W3CDTF">2015-02-19T15:12:00Z</dcterms:created>
  <dcterms:modified xsi:type="dcterms:W3CDTF">2015-02-19T15:12:00Z</dcterms:modified>
</cp:coreProperties>
</file>