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33A2" w:rsidRPr="00B274BD" w:rsidRDefault="001833A2" w:rsidP="001833A2">
      <w:pPr>
        <w:pStyle w:val="TITCOMM"/>
      </w:pPr>
      <w:r w:rsidRPr="00B274BD">
        <w:t>Le norme generali sulla semplificazione</w:t>
      </w:r>
    </w:p>
    <w:p w:rsidR="001833A2" w:rsidRPr="008518E5" w:rsidRDefault="001833A2" w:rsidP="001833A2">
      <w:pPr>
        <w:pStyle w:val="AUTORE"/>
        <w:rPr>
          <w:highlight w:val="yellow"/>
        </w:rPr>
      </w:pPr>
      <w:r w:rsidRPr="00B274BD">
        <w:t>di Giulio Vesperini</w:t>
      </w:r>
    </w:p>
    <w:p w:rsidR="001833A2" w:rsidRPr="001833A2" w:rsidRDefault="001833A2" w:rsidP="001833A2">
      <w:pPr>
        <w:pStyle w:val="ABS"/>
        <w:rPr>
          <w:highlight w:val="yellow"/>
        </w:rPr>
      </w:pPr>
      <w:r w:rsidRPr="00B274BD">
        <w:t xml:space="preserve">Il principio di semplificazione costituisce uno dei principi portanti della intera disciplina della </w:t>
      </w:r>
      <w:r w:rsidR="00616C51">
        <w:t>L</w:t>
      </w:r>
      <w:r w:rsidRPr="00B274BD">
        <w:t>. n. 124/2015. La legge detta anche alcune misure generali di semplificazione, per l</w:t>
      </w:r>
      <w:r>
        <w:t>’</w:t>
      </w:r>
      <w:r w:rsidRPr="00B274BD">
        <w:t>attuazione delle quali attribuisce una serie di deleghe al governo. Tre sono gli indirizzi principali che tali misure sanciscono: la riduzione del regime di specialità riservato ai c</w:t>
      </w:r>
      <w:r w:rsidR="006F36AD">
        <w:t>.</w:t>
      </w:r>
      <w:r w:rsidRPr="00B274BD">
        <w:t>d. interessi sensibili; il rafforzamento dei poteri dell</w:t>
      </w:r>
      <w:r>
        <w:t>’</w:t>
      </w:r>
      <w:r w:rsidRPr="00B274BD">
        <w:t xml:space="preserve">amministrazione procedente; la specificazione della disciplina di alcuni importanti istituti di </w:t>
      </w:r>
      <w:r w:rsidRPr="001833A2">
        <w:t xml:space="preserve">semplificazione già disciplinati dalla </w:t>
      </w:r>
      <w:r w:rsidR="00616C51">
        <w:t>L</w:t>
      </w:r>
      <w:r w:rsidRPr="001833A2">
        <w:t>. n. 241/1990.</w:t>
      </w:r>
    </w:p>
    <w:p w:rsidR="001833A2" w:rsidRDefault="001833A2" w:rsidP="001833A2">
      <w:pPr>
        <w:pStyle w:val="TIT1"/>
      </w:pPr>
      <w:r>
        <w:t>Un nuovo programma di semplificazione</w:t>
      </w:r>
    </w:p>
    <w:p w:rsidR="001833A2" w:rsidRDefault="001833A2" w:rsidP="001833A2">
      <w:pPr>
        <w:pStyle w:val="TESTOCOMM"/>
      </w:pPr>
      <w:r>
        <w:t xml:space="preserve">I quaranta richiami della </w:t>
      </w:r>
      <w:r w:rsidR="00616C51">
        <w:t>L</w:t>
      </w:r>
      <w:r>
        <w:t>. n. 124/2015 al principio di semplificazione fa di questo uno dei più importanti fili conduttori dell’intera disciplina. Di semplificazione, infatti, si tratta a proposito di digitalizzazione della pubblica amministrazione; organizzazione e personale; trasparenza e prevenzione della corruzione; razionalizzazione di importanti settori della disciplina amministrativa. Questo scritto tratta, però, dei cinque articoli della legge dedicati alla disciplina generale dei procedimenti decisionali: 2, 3, 4, 5 e 21.</w:t>
      </w:r>
    </w:p>
    <w:p w:rsidR="001833A2" w:rsidRDefault="001833A2" w:rsidP="001833A2">
      <w:pPr>
        <w:pStyle w:val="TESTOCOMM"/>
      </w:pPr>
      <w:r>
        <w:t>Le misure generali previste da queste disposizioni riguardano, per lo più, i procedimenti amministrativi, ma toccano, in parte, anche le norme e i meccanismi previsti per dare loro attuazione.</w:t>
      </w:r>
    </w:p>
    <w:p w:rsidR="001833A2" w:rsidRDefault="001833A2" w:rsidP="001833A2">
      <w:pPr>
        <w:pStyle w:val="TESTOCOMM"/>
      </w:pPr>
      <w:r>
        <w:t xml:space="preserve">Con la sola eccezione di quelle dell’art. 3, che reca norme immediatamente precettive sul silenzio assenso tra amministrazioni pubbliche, esse tracciano un programma di lavoro che il governo dovrà realizzare in un tempo compreso tra i tre (art. 21) e i dodici mesi (artt. 2 e 5); principalmente attraverso deleghe legislative e, in un caso (quello </w:t>
      </w:r>
      <w:r w:rsidR="00616C51">
        <w:t xml:space="preserve">dell’art. </w:t>
      </w:r>
      <w:r>
        <w:t>4), con un regolamento delegificante. I procedimenti per l’adozione dei decreti legislativi e del regolamento differiscono, tra loro, non solo in ragione del tipo di fonte normativa, ma anche dell’oggetto della delega. Per le norme sulla conferenza dei servizi (art. 2) e la segnalazione certificata di inizio attività-SCIA, il silenzio assenso, l’autorizzazione espressa e la comunicazione preventiva (art. 5), la proposta è del ministro per la semplificazione e la pubblica amministrazione; interviene la conferenza unificata (di norma, con un’intesa, talvolta, con un parere); il consiglio di Stato e il Parlamento devono dare un parere nei termini previsti dalla legge. Molto più semplice il procedimento previsto per la delega regolata dall’art. 21: la proposta spetta al presidente del consiglio, di concerto con il ministro per le riforme costitu</w:t>
      </w:r>
      <w:proofErr w:type="gramStart"/>
      <w:r>
        <w:t>zionali</w:t>
      </w:r>
      <w:proofErr w:type="gramEnd"/>
      <w:r>
        <w:t>; segue la trasmissione al Parlamento per il parere di sua competenza. Infine, l’adozione del regolamento delegificante previsto dall’art. 4 è soggetto all’art.</w:t>
      </w:r>
      <w:r w:rsidR="0019710E">
        <w:t xml:space="preserve"> </w:t>
      </w:r>
      <w:r>
        <w:t>17, c</w:t>
      </w:r>
      <w:r w:rsidR="0019710E">
        <w:t>omma</w:t>
      </w:r>
      <w:r>
        <w:t xml:space="preserve"> 2, </w:t>
      </w:r>
      <w:r w:rsidR="0019710E">
        <w:t>L</w:t>
      </w:r>
      <w:r>
        <w:t>. n.</w:t>
      </w:r>
      <w:r w:rsidR="0019710E">
        <w:t xml:space="preserve"> </w:t>
      </w:r>
      <w:r>
        <w:t>400/1988: il governo deve acquisire i pareri del consiglio di Stato e delle commissioni parlamentari competenti. Ma è necessaria anche l’intesa della conferenza unificata.</w:t>
      </w:r>
    </w:p>
    <w:p w:rsidR="001833A2" w:rsidRDefault="001833A2" w:rsidP="001833A2">
      <w:pPr>
        <w:pStyle w:val="TESTOCOMM"/>
      </w:pPr>
      <w:r>
        <w:t xml:space="preserve">I soggetti ai quali la legge affida la realizzazione del programma di semplificazione, quindi, sono quattro: il governo, il Parlamento, la conferenza unificata, il Consiglio di Stato. Come si è visto, a seconda dei casi, mutano il peso di ciascuno di essi e i termini entro i quali devono esercitare le competenze loro attribuite. Rispetto al passato, si rafforza la posizione del ministro per la semplificazione e la pubblica amministrazione, secondo un indirizzo già anticipato dal </w:t>
      </w:r>
      <w:r w:rsidR="0019710E">
        <w:t>D</w:t>
      </w:r>
      <w:r>
        <w:t>.</w:t>
      </w:r>
      <w:r w:rsidR="0019710E">
        <w:t>L</w:t>
      </w:r>
      <w:r>
        <w:t xml:space="preserve">. n. 90/2014. Trova conferma anche l’altro importante indirizzo sancito dalla </w:t>
      </w:r>
      <w:r w:rsidR="0019710E">
        <w:t xml:space="preserve">L. </w:t>
      </w:r>
      <w:r>
        <w:t>del 2014, della semplificazione quale politica comune dello Stato e del sistema delle autonomie regionali e locali</w:t>
      </w:r>
      <w:r w:rsidR="003A4BE6" w:rsidRPr="003A4BE6">
        <w:rPr>
          <w:rStyle w:val="Rimandonotaapidipagina"/>
        </w:rPr>
        <w:footnoteReference w:id="1"/>
      </w:r>
      <w:r>
        <w:t>: tre delle quattro normative generali di semplificazione devono essere adottate, infatti, dal governo con l’intesa o il parere della conferenza unificata.</w:t>
      </w:r>
    </w:p>
    <w:p w:rsidR="001833A2" w:rsidRDefault="001833A2" w:rsidP="001833A2">
      <w:pPr>
        <w:pStyle w:val="TESTOCOMM"/>
      </w:pPr>
      <w:r>
        <w:t xml:space="preserve">Sul piano degli strumenti adoperati, poi, la </w:t>
      </w:r>
      <w:r w:rsidR="0019710E">
        <w:t>L</w:t>
      </w:r>
      <w:r>
        <w:t>. n. 124/2015 segue la tradizione delle più importanti leggi di semplificazione del ventennio precedente, quella dell’articolazione dell’intervento normativo su diversi livelli: il Parlamento definisce il programma di semplificazione, il governo vi dà attuazione attraverso decreti legislativi e regolamenti.</w:t>
      </w:r>
    </w:p>
    <w:p w:rsidR="001833A2" w:rsidRDefault="001833A2" w:rsidP="001833A2">
      <w:pPr>
        <w:pStyle w:val="TESTOCOMM"/>
      </w:pPr>
      <w:r>
        <w:t xml:space="preserve">Non mutano neanche le regole del rapporto tra le norme generali sul procedimento, dettate dallo Stato, con quelle di spettanza delle regioni e degli enti locali per i procedimenti di rispettiva competenza: pertanto, </w:t>
      </w:r>
      <w:r>
        <w:lastRenderedPageBreak/>
        <w:t>l’applicazione ai procedimenti regionali e locali delle norme (delegate) di riforma degli istituti della conferenza di servizi, della SCIA, del silenzio assenso, ecc</w:t>
      </w:r>
      <w:r w:rsidR="006F36AD">
        <w:t>.</w:t>
      </w:r>
      <w:r>
        <w:t xml:space="preserve">, sarà regolata dall’art. 29, </w:t>
      </w:r>
      <w:r w:rsidR="0019710E">
        <w:t>L</w:t>
      </w:r>
      <w:r>
        <w:t>. n. 241/1990.</w:t>
      </w:r>
    </w:p>
    <w:p w:rsidR="001833A2" w:rsidRDefault="001833A2" w:rsidP="001833A2">
      <w:pPr>
        <w:pStyle w:val="TESTOCOMM"/>
      </w:pPr>
      <w:r>
        <w:t xml:space="preserve">Infine, vale anche per le norme di semplificazione l’osservazione generale fatta nello scritto introduttivo di Bernardo Mattarella: esse non introducono nuovi e autonomi plessi normativi, ma, per la gran parte, modificano gli istituti di semplificazione regolati dalla </w:t>
      </w:r>
      <w:r w:rsidR="0019710E">
        <w:t>L</w:t>
      </w:r>
      <w:r>
        <w:t>. n. 241/1990 (conferenza di servizi, silenzio assenso, segnalazione certificata di inizio attività) o ne prevedono particolari modalità di attuazione con riferimento a determinati procedimenti (termine di conclusione e meccanismi sostitutivi); per altra parte, prevedono la soppressione o la revisione di norme che hanno avuto attuazione scarsa o nulla.</w:t>
      </w:r>
    </w:p>
    <w:p w:rsidR="001833A2" w:rsidRDefault="001833A2" w:rsidP="001833A2">
      <w:pPr>
        <w:pStyle w:val="TESTOCOMM"/>
      </w:pPr>
      <w:r>
        <w:t xml:space="preserve">Detto delle caratteristiche delle misure generali di semplificazione dettate dalla </w:t>
      </w:r>
      <w:r w:rsidR="0019710E">
        <w:t>L</w:t>
      </w:r>
      <w:r>
        <w:t xml:space="preserve">. n. 124/2015 e degli elementi di continuità con quelle del passato, si illustrano di seguito le tre principali scelte di fondo da esse compiute: la riduzione del regime speciale riservato ai cd. </w:t>
      </w:r>
      <w:proofErr w:type="gramStart"/>
      <w:r>
        <w:t>interessi</w:t>
      </w:r>
      <w:proofErr w:type="gramEnd"/>
      <w:r>
        <w:t xml:space="preserve"> sensibili; il rafforzamento dei poteri dell’amministrazione procedente; la specificazione e l’integrazione della disciplina di alcuni importanti istituti di semplificazione.</w:t>
      </w:r>
    </w:p>
    <w:p w:rsidR="001833A2" w:rsidRDefault="001833A2" w:rsidP="001833A2">
      <w:pPr>
        <w:pStyle w:val="TIT1"/>
      </w:pPr>
      <w:r>
        <w:t>La ridotta specialità degli interessi sensibili</w:t>
      </w:r>
    </w:p>
    <w:p w:rsidR="001833A2" w:rsidRDefault="001833A2" w:rsidP="001833A2">
      <w:pPr>
        <w:pStyle w:val="TESTOCOMM"/>
      </w:pPr>
      <w:r>
        <w:t xml:space="preserve">Quello del rapporto tra il principio di semplificazione e la tutela di una serie di interessi sensibili, quali quelli ambientali, paesaggistico-territoriali, del patrimonio storico-artistico, della salute e della pubblica incolumità costituisce un problema risalente delle norme sulla semplificazione, sin dalla </w:t>
      </w:r>
      <w:r w:rsidR="0019710E">
        <w:t xml:space="preserve">L. </w:t>
      </w:r>
      <w:r>
        <w:t>n. 241/1990.</w:t>
      </w:r>
    </w:p>
    <w:p w:rsidR="001833A2" w:rsidRDefault="001833A2" w:rsidP="001833A2">
      <w:pPr>
        <w:pStyle w:val="TESTOCOMM"/>
      </w:pPr>
      <w:r>
        <w:t xml:space="preserve">Nella disciplina generale vigente fino alla entrata in vigore della </w:t>
      </w:r>
      <w:r w:rsidR="0019710E">
        <w:t>L</w:t>
      </w:r>
      <w:r>
        <w:t xml:space="preserve">. n. 124/2015, questo conflitto trova soluzione, nella maggior parte dei casi, con la sottrazione delle amministrazioni preposte alla cura degli interessi in questione alle norme di semplificazione valevoli per le altre amministrazioni: questo è il caso, come è noto, degli artt. 16 (sui pareri), 17 (sulle valutazioni tecniche), 19 (sulla SCIA), 20 (sul silenzio assenso) della </w:t>
      </w:r>
      <w:r w:rsidR="0019710E">
        <w:t>L</w:t>
      </w:r>
      <w:r>
        <w:t xml:space="preserve">. n. 241/1990. È più articolata, invece, la soluzione adottata dalla disciplina della conferenza dei servizi. Una normativa speciale, infatti, è prevista principalmente per il dissenso di una o più di queste amministrazioni sulla proposta dell’amministrazione procedente: il dissenso, se motivato, impedisce la conclusione della conferenza secondo la regola generale delle </w:t>
      </w:r>
      <w:r w:rsidR="00616C51">
        <w:t>“</w:t>
      </w:r>
      <w:r>
        <w:t>posizioni prevalenti</w:t>
      </w:r>
      <w:r w:rsidR="00616C51">
        <w:t>”</w:t>
      </w:r>
      <w:r>
        <w:t xml:space="preserve"> (art. 14 </w:t>
      </w:r>
      <w:r w:rsidRPr="006F36AD">
        <w:rPr>
          <w:i/>
        </w:rPr>
        <w:t>ter</w:t>
      </w:r>
      <w:r>
        <w:t>, c</w:t>
      </w:r>
      <w:r w:rsidR="0019710E">
        <w:t>omma</w:t>
      </w:r>
      <w:r>
        <w:t xml:space="preserve"> 6 </w:t>
      </w:r>
      <w:r w:rsidRPr="006F36AD">
        <w:rPr>
          <w:i/>
        </w:rPr>
        <w:t>bis</w:t>
      </w:r>
      <w:r>
        <w:t>) e determina l’avvio di un autonomo procedimento da concludersi con la decisione del consiglio dei ministri, previa l’acquisizione, nei termini indicati dalla legge, di una serie di intese. In questo caso, quindi, la specialità del regime degli interessi sensibili non si risolve nella loro sottrazione alla disciplina generale, ma nell’aggravamento del procedimento amministrativo.</w:t>
      </w:r>
    </w:p>
    <w:p w:rsidR="001833A2" w:rsidRDefault="001833A2" w:rsidP="001833A2">
      <w:pPr>
        <w:pStyle w:val="TESTOCOMM"/>
      </w:pPr>
      <w:r>
        <w:t xml:space="preserve">Sulla dubbia legittimità costituzionale del trattamento (di favore) riservato a questi interessi rispetto ad altri valori costituzionali, si espressero già alcuni autori nei primi commenti della </w:t>
      </w:r>
      <w:r w:rsidR="0019710E">
        <w:t>L</w:t>
      </w:r>
      <w:r>
        <w:t>.</w:t>
      </w:r>
      <w:r w:rsidR="0019710E">
        <w:t xml:space="preserve"> </w:t>
      </w:r>
      <w:r>
        <w:t>n.</w:t>
      </w:r>
      <w:r w:rsidR="0019710E">
        <w:t xml:space="preserve"> </w:t>
      </w:r>
      <w:r>
        <w:t>241/1990</w:t>
      </w:r>
      <w:r w:rsidR="003A4BE6" w:rsidRPr="003A4BE6">
        <w:rPr>
          <w:rStyle w:val="Rimandonotaapidipagina"/>
        </w:rPr>
        <w:footnoteReference w:id="2"/>
      </w:r>
      <w:r>
        <w:t xml:space="preserve">. Ma, ancora più importante, queste norme non hanno risolto il problema della lunghezza e della farraginosità dei procedimenti ai quali partecipano le amministrazioni preposte alla cura di quegli stessi interessi. Per esempio, nella consultazione promossa, nell’aprile 2014, dal dipartimento della funzione pubblica sulle </w:t>
      </w:r>
      <w:r w:rsidR="00616C51">
        <w:t>“</w:t>
      </w:r>
      <w:r>
        <w:t>100 procedure più complicate da semplificare</w:t>
      </w:r>
      <w:r w:rsidR="00616C51">
        <w:t>”</w:t>
      </w:r>
      <w:r>
        <w:t xml:space="preserve"> è emerso che i cittadini considerano tra le procedure più complicate quelle in materia edilizia, specialmente nelle zone soggette a vincoli paesaggistici, naturalistici, urbanistici, ecc., in ragione della necessità di acquisire i pareri di una pluralità di differenti uffici e della imprevedibilità dei tempi rispettivamente occorrenti</w:t>
      </w:r>
      <w:r w:rsidR="003A4BE6" w:rsidRPr="003A4BE6">
        <w:rPr>
          <w:rStyle w:val="Rimandonotaapidipagina"/>
        </w:rPr>
        <w:footnoteReference w:id="3"/>
      </w:r>
      <w:r>
        <w:t>.</w:t>
      </w:r>
    </w:p>
    <w:p w:rsidR="001833A2" w:rsidRDefault="001833A2" w:rsidP="001833A2">
      <w:pPr>
        <w:pStyle w:val="TESTOCOMM"/>
      </w:pPr>
      <w:r>
        <w:t xml:space="preserve">Anche se per avere un quadro completo in materia, occorre attendere i provvedimenti di attuazione, si può osservare già da ora che la </w:t>
      </w:r>
      <w:r w:rsidR="0019710E">
        <w:t>L</w:t>
      </w:r>
      <w:r>
        <w:t>. n. 124/2015 corregge gli indirizzi del passato, perché riduce il regime di specialità riservato alle amministrazioni preposte alla cura di interessi sensibili; pre</w:t>
      </w:r>
      <w:r w:rsidR="008C5470">
        <w:t xml:space="preserve">vede tecniche che assicurino </w:t>
      </w:r>
      <w:r w:rsidR="008C5470" w:rsidRPr="008C5470">
        <w:rPr>
          <w:highlight w:val="yellow"/>
        </w:rPr>
        <w:t>un</w:t>
      </w:r>
      <w:r>
        <w:t xml:space="preserve"> contemperamento più equilibrato tra questi stessi interessi e quello alla semplificazione; àncora più decisamente la soluzione del conflitto al procedimento principale e alle sue regole ordinarie.</w:t>
      </w:r>
    </w:p>
    <w:p w:rsidR="001833A2" w:rsidRDefault="001833A2" w:rsidP="001833A2">
      <w:pPr>
        <w:pStyle w:val="TESTOCOMM"/>
      </w:pPr>
      <w:r>
        <w:t xml:space="preserve">Innanzitutto, l’art. 3, che introduce un nuovo art. 17 </w:t>
      </w:r>
      <w:r w:rsidRPr="00B274BD">
        <w:rPr>
          <w:i/>
        </w:rPr>
        <w:t>bis</w:t>
      </w:r>
      <w:r>
        <w:t xml:space="preserve"> nella </w:t>
      </w:r>
      <w:r w:rsidR="0019710E">
        <w:t>L</w:t>
      </w:r>
      <w:r>
        <w:t>. n. 241/1990, applica la regola del silenzio assenso tra le amministrazioni pubbliche anche ai provvedimenti di competenza di quelle preposte alla cura di interessi sensibili, prevedendo, solamente, per questi casi, un termine più lungo di quello ordinario per la formazione del silenzio assenso.</w:t>
      </w:r>
    </w:p>
    <w:p w:rsidR="001833A2" w:rsidRDefault="001833A2" w:rsidP="001833A2">
      <w:pPr>
        <w:pStyle w:val="TESTOCOMM"/>
      </w:pPr>
      <w:r>
        <w:lastRenderedPageBreak/>
        <w:t xml:space="preserve">Tre sono le previsioni rilevanti, al riguardo, nei criteri di delega dettati dall’art. 2, sulla conferenza dei servizi. Quella che affida al legislatore delegato il compito di definire meccanismi e termini </w:t>
      </w:r>
      <w:r w:rsidR="00616C51">
        <w:t>“</w:t>
      </w:r>
      <w:r>
        <w:t>per la necessaria composizione degli interessi pubblici nei casi in cui la legge preveda la partecipazione al procedimento delle amministrazioni preposte alla tutela dell’ambiente, del paesaggio, del patrimonio storico-artistico, della salute o della pubblica incolumità, in modo da pervenire in ogni caso alla conclusione del procedimento entro i termini previsti</w:t>
      </w:r>
      <w:r w:rsidR="00616C51">
        <w:t>”</w:t>
      </w:r>
      <w:r>
        <w:t xml:space="preserve"> (c</w:t>
      </w:r>
      <w:r w:rsidR="0019710E">
        <w:t>omma</w:t>
      </w:r>
      <w:r>
        <w:t xml:space="preserve"> 1, </w:t>
      </w:r>
      <w:proofErr w:type="spellStart"/>
      <w:r>
        <w:t>lett</w:t>
      </w:r>
      <w:proofErr w:type="spellEnd"/>
      <w:r>
        <w:t xml:space="preserve">. n); quella, della stessa </w:t>
      </w:r>
      <w:proofErr w:type="spellStart"/>
      <w:r>
        <w:t>lett</w:t>
      </w:r>
      <w:proofErr w:type="spellEnd"/>
      <w:r>
        <w:t xml:space="preserve">. n, sulla </w:t>
      </w:r>
      <w:r w:rsidR="00616C51">
        <w:t>“</w:t>
      </w:r>
      <w:r>
        <w:t>previsione per le amministrazioni citate della possibilità di attivare procedure di riesame</w:t>
      </w:r>
      <w:r w:rsidR="00616C51">
        <w:t>”</w:t>
      </w:r>
      <w:r>
        <w:t xml:space="preserve">; quella, infine, che, riproducendo con qualche variante la previsione dell’art. 14 </w:t>
      </w:r>
      <w:r w:rsidRPr="006F36AD">
        <w:rPr>
          <w:i/>
        </w:rPr>
        <w:t>ter</w:t>
      </w:r>
      <w:r>
        <w:t>, c</w:t>
      </w:r>
      <w:r w:rsidR="0019710E">
        <w:t>omma</w:t>
      </w:r>
      <w:r>
        <w:t xml:space="preserve"> 7, </w:t>
      </w:r>
      <w:r w:rsidR="0019710E">
        <w:t>L</w:t>
      </w:r>
      <w:r>
        <w:t xml:space="preserve">. n. 241/1990, impegna il legislatore delegato a prevedere </w:t>
      </w:r>
      <w:r w:rsidR="00616C51">
        <w:t>“</w:t>
      </w:r>
      <w:r>
        <w:t>che si consideri comunque acquisito l’assenso delle amministrazioni, ivi comprese quelle preposte alla tutela della salute, del patrimonio storico-artistico e dell’ambiente, che, entro il termine dei lavori della conferenza, non si siano espresse nelle forme di legge</w:t>
      </w:r>
      <w:r w:rsidR="00616C51">
        <w:t>”</w:t>
      </w:r>
      <w:r>
        <w:t xml:space="preserve"> (c</w:t>
      </w:r>
      <w:r w:rsidR="0019710E">
        <w:t>omma</w:t>
      </w:r>
      <w:r>
        <w:t xml:space="preserve"> 1, </w:t>
      </w:r>
      <w:proofErr w:type="spellStart"/>
      <w:r>
        <w:t>lett</w:t>
      </w:r>
      <w:proofErr w:type="spellEnd"/>
      <w:r>
        <w:t>. g).</w:t>
      </w:r>
    </w:p>
    <w:p w:rsidR="001833A2" w:rsidRDefault="001833A2" w:rsidP="001833A2">
      <w:pPr>
        <w:pStyle w:val="TIT1"/>
      </w:pPr>
      <w:r>
        <w:t>Il rafforzamento dei poteri dell’amministrazione procedente</w:t>
      </w:r>
    </w:p>
    <w:p w:rsidR="001833A2" w:rsidRPr="00D21065" w:rsidRDefault="001833A2" w:rsidP="001833A2">
      <w:pPr>
        <w:pStyle w:val="TESTOCOMM"/>
      </w:pPr>
      <w:r w:rsidRPr="00D21065">
        <w:t>In parte connesso a quello appena analizzato è un altro problema ricorrente della normativa sulla semplificazione, quello del rapporto tra la disciplina dei singoli procedimenti (che, in molti casi, prevede la partecipazione di numerosi uffici), da un lato, e il principio di tempestività dell</w:t>
      </w:r>
      <w:r>
        <w:t>’</w:t>
      </w:r>
      <w:r w:rsidRPr="00D21065">
        <w:t>azione amministrativa, dall</w:t>
      </w:r>
      <w:r>
        <w:t>’</w:t>
      </w:r>
      <w:r w:rsidRPr="00D21065">
        <w:t xml:space="preserve">altro lato. Il modello introdotto dalla </w:t>
      </w:r>
      <w:r w:rsidR="0019710E">
        <w:t>L</w:t>
      </w:r>
      <w:r w:rsidRPr="00D21065">
        <w:t>. n. 241/1990, poi ripreso e sviluppato dalle norme successive, investe la struttura del procedimento: di questa si consente al responsabile del procedimento stesso la modificazione attraverso la soppressione di alcune fasi (si pensi alle norme degli artt. 16 e 17 sui pareri e le valutazioni tecniche), oppure mediante la previsione di tecniche di decisione contestuali e concordate che permettono la composizione degli interessi, senza aggravare la sequenza procedimentale (il riferimento è alla conferenza di servizi). Secondo questa prospettiva, pertanto, la semplificazione si consegue con il rafforzamento dei poteri assegnati all</w:t>
      </w:r>
      <w:r>
        <w:t>’</w:t>
      </w:r>
      <w:r w:rsidRPr="00D21065">
        <w:t xml:space="preserve">amministrazione procedente per dirigere il procedimento. Ma le misure adottate fino a questo momento, in gran parte, hanno fallito i loro obiettivi. Si legge ad esempio in una recente indagine sulla conferenza di servizi: </w:t>
      </w:r>
      <w:r w:rsidR="00616C51">
        <w:t>“</w:t>
      </w:r>
      <w:r w:rsidRPr="00D21065">
        <w:t>Le caratteristiche del processo e in particolare la frammentazione [delle competenze tra un numero molto elevato di uffici] comportano che il responsabile del procedimento si limiti a svolgere un ruolo di coordinatore for</w:t>
      </w:r>
      <w:r>
        <w:t>male di obblighi amministrativi</w:t>
      </w:r>
      <w:r w:rsidRPr="00D21065">
        <w:t xml:space="preserve">. </w:t>
      </w:r>
      <w:r>
        <w:t>È</w:t>
      </w:r>
      <w:r w:rsidRPr="00D21065">
        <w:t xml:space="preserve"> assente una prospettiva collaborativa del responsabile, il quale dovrebbe invece guidare il procedimento al buon esito dello stesso. Inoltre, si verifica un sostanziale vuoto di responsabilità, visto che ciascuna delle amministrazioni che intervengono si occupa solo del segmento di sua competenza</w:t>
      </w:r>
      <w:r w:rsidR="00616C51">
        <w:t>”</w:t>
      </w:r>
      <w:r w:rsidR="003A4BE6" w:rsidRPr="003A4BE6">
        <w:rPr>
          <w:rStyle w:val="Rimandonotaapidipagina"/>
        </w:rPr>
        <w:footnoteReference w:id="4"/>
      </w:r>
      <w:r w:rsidRPr="00D21065">
        <w:t>.</w:t>
      </w:r>
    </w:p>
    <w:p w:rsidR="001833A2" w:rsidRDefault="001833A2" w:rsidP="001833A2">
      <w:pPr>
        <w:pStyle w:val="TESTOCOMM"/>
      </w:pPr>
      <w:r w:rsidRPr="00D21065">
        <w:t xml:space="preserve">Le norme della </w:t>
      </w:r>
      <w:r w:rsidR="0019710E">
        <w:t>L</w:t>
      </w:r>
      <w:r w:rsidRPr="00D21065">
        <w:t>. n. 124/2015 non abbandonano questo modello, ma si prefiggono, all</w:t>
      </w:r>
      <w:r>
        <w:t>’</w:t>
      </w:r>
      <w:r w:rsidRPr="00D21065">
        <w:t>inverso, di consolidarne l</w:t>
      </w:r>
      <w:r>
        <w:t>’</w:t>
      </w:r>
      <w:r w:rsidRPr="00D21065">
        <w:t>effettività. A questo scopo, esse ampliano i poteri e le responsabilità dell</w:t>
      </w:r>
      <w:r>
        <w:t>’</w:t>
      </w:r>
      <w:r w:rsidRPr="00D21065">
        <w:t>amministrazione procedente; rafforzano le tecniche per assicurare unitarietà all</w:t>
      </w:r>
      <w:r>
        <w:t>’</w:t>
      </w:r>
      <w:r w:rsidRPr="00D21065">
        <w:t>azione amministrativa; introducono nuove garanzie del rispetto dei termini di conclusione del procedimento.</w:t>
      </w:r>
    </w:p>
    <w:p w:rsidR="001833A2" w:rsidRPr="00D21065" w:rsidRDefault="001833A2" w:rsidP="001833A2">
      <w:pPr>
        <w:pStyle w:val="TESTOCOMM"/>
      </w:pPr>
      <w:r w:rsidRPr="00D21065">
        <w:t>Gli art</w:t>
      </w:r>
      <w:r w:rsidR="0019710E">
        <w:t>t</w:t>
      </w:r>
      <w:r w:rsidRPr="00D21065">
        <w:t>.</w:t>
      </w:r>
      <w:r w:rsidR="0019710E">
        <w:t xml:space="preserve"> </w:t>
      </w:r>
      <w:r w:rsidRPr="00D21065">
        <w:t>2, 3 e 4 contengono applicazioni importanti di questi indirizzi.</w:t>
      </w:r>
    </w:p>
    <w:p w:rsidR="001833A2" w:rsidRDefault="001833A2" w:rsidP="001833A2">
      <w:pPr>
        <w:pStyle w:val="TESTOCOMM"/>
      </w:pPr>
      <w:r w:rsidRPr="00D21065">
        <w:t>A proposito della conferenza di servizi, l</w:t>
      </w:r>
      <w:r>
        <w:t>’</w:t>
      </w:r>
      <w:r w:rsidRPr="00D21065">
        <w:t>art. 2 prevede che il legislatore delegato debba adottare misure per: la ridefinizione e la riduzione dei casi in cui la convocazione della conferenza di servizi è obbligatoria; la riduzione dei termini per l</w:t>
      </w:r>
      <w:r>
        <w:t>’</w:t>
      </w:r>
      <w:r w:rsidRPr="00D21065">
        <w:t>acquisizione degli atti di assenso previsti e per l</w:t>
      </w:r>
      <w:r>
        <w:t>’</w:t>
      </w:r>
      <w:r w:rsidRPr="00D21065">
        <w:t>adozione della determinazione motivata di conclusione del procedimento; la partecipazione alla conferenza di un solo rappresentante delle amministrazioni statali e, più in generale, il coordinamento e la rappresentanza unitaria delle amministrazioni interessate (con previsione, questa, che riguardi anche le amministrazioni differenti dallo Stato); la precisazione dei poteri dell</w:t>
      </w:r>
      <w:r>
        <w:t>’</w:t>
      </w:r>
      <w:r w:rsidRPr="00D21065">
        <w:t>amministrazione procedente, in particolare per i casi nei quali le amministrazioni competenti non abbiano espresso</w:t>
      </w:r>
      <w:r w:rsidR="008C5470">
        <w:t xml:space="preserve"> atti di assenso o di dissenso. </w:t>
      </w:r>
      <w:r w:rsidR="008C5470" w:rsidRPr="008C5470">
        <w:rPr>
          <w:highlight w:val="yellow"/>
        </w:rPr>
        <w:t>Il legislatore delegato, inoltre,</w:t>
      </w:r>
      <w:r w:rsidR="008C5470">
        <w:t xml:space="preserve"> deve </w:t>
      </w:r>
      <w:r w:rsidRPr="00D21065">
        <w:t>considerare acquisito l</w:t>
      </w:r>
      <w:r>
        <w:t>’</w:t>
      </w:r>
      <w:r w:rsidRPr="00D21065">
        <w:t>assenso delle amministrazioni che, entro il termine dei lavori della conferenza, non si siano espresse nelle forme di legge</w:t>
      </w:r>
      <w:r w:rsidR="008C5470">
        <w:t xml:space="preserve"> </w:t>
      </w:r>
      <w:bookmarkStart w:id="0" w:name="_GoBack"/>
      <w:bookmarkEnd w:id="0"/>
      <w:r w:rsidR="008C5470" w:rsidRPr="008C5470">
        <w:rPr>
          <w:highlight w:val="yellow"/>
        </w:rPr>
        <w:t>e</w:t>
      </w:r>
      <w:r w:rsidRPr="00D21065">
        <w:t xml:space="preserve"> prevedere meccanismi di composizione degli interessi sensibili, che assicurino comunque la conclusione del procedimento entro i termini previsti.</w:t>
      </w:r>
    </w:p>
    <w:p w:rsidR="001833A2" w:rsidRDefault="001833A2" w:rsidP="001833A2">
      <w:pPr>
        <w:pStyle w:val="TESTOCOMM"/>
      </w:pPr>
      <w:r w:rsidRPr="00D21065">
        <w:t>L</w:t>
      </w:r>
      <w:r>
        <w:t>’</w:t>
      </w:r>
      <w:r w:rsidRPr="00D21065">
        <w:t>art. 3 estende il meccanismo del silenzio assenso dai rapporti tra la pubblica amministrazione e i privati a quello delle amministrazioni tra loro.</w:t>
      </w:r>
    </w:p>
    <w:p w:rsidR="001833A2" w:rsidRPr="00D21065" w:rsidRDefault="001833A2" w:rsidP="001833A2">
      <w:pPr>
        <w:pStyle w:val="TESTOCOMM"/>
      </w:pPr>
      <w:r w:rsidRPr="00D21065">
        <w:t>L</w:t>
      </w:r>
      <w:r>
        <w:t>’</w:t>
      </w:r>
      <w:r w:rsidRPr="00D21065">
        <w:t>art. 4 prevede per determinati procedimenti amministrativi (da identificare con regolamento tra quelli riguardanti rilevanti insediamenti produttivi, opere di interesse generale, avvio di attività imprenditoriali) la possibilità di una riduzione fino al cinquanta per cento dei termini di conclusione e l</w:t>
      </w:r>
      <w:r>
        <w:t>’</w:t>
      </w:r>
      <w:r w:rsidRPr="00D21065">
        <w:t xml:space="preserve">imputazione dei poteri </w:t>
      </w:r>
      <w:r w:rsidRPr="00D21065">
        <w:lastRenderedPageBreak/>
        <w:t>sostitutivi per l</w:t>
      </w:r>
      <w:r>
        <w:t>’</w:t>
      </w:r>
      <w:r w:rsidRPr="00D21065">
        <w:t>inosservanza dei termini stessi (secondo quanto previsto in generale dall</w:t>
      </w:r>
      <w:r>
        <w:t>’</w:t>
      </w:r>
      <w:r w:rsidRPr="00D21065">
        <w:t>art.</w:t>
      </w:r>
      <w:r w:rsidR="0019710E">
        <w:t xml:space="preserve"> </w:t>
      </w:r>
      <w:r w:rsidRPr="00D21065">
        <w:t xml:space="preserve">2, commi 9 </w:t>
      </w:r>
      <w:r w:rsidR="00ED18BB">
        <w:t>ss.</w:t>
      </w:r>
      <w:r w:rsidRPr="00D21065">
        <w:t xml:space="preserve">, </w:t>
      </w:r>
      <w:r w:rsidR="0019710E">
        <w:t>L</w:t>
      </w:r>
      <w:r w:rsidRPr="00D21065">
        <w:t>. n. 241/1990) al presidente del consiglio o a un suo delegato.</w:t>
      </w:r>
    </w:p>
    <w:p w:rsidR="001833A2" w:rsidRDefault="001833A2" w:rsidP="001833A2">
      <w:pPr>
        <w:pStyle w:val="TIT1"/>
      </w:pPr>
      <w:r>
        <w:t>Individuare, identificare, precisare</w:t>
      </w:r>
    </w:p>
    <w:p w:rsidR="001833A2" w:rsidRDefault="001833A2" w:rsidP="001833A2">
      <w:pPr>
        <w:pStyle w:val="TESTOCOMM"/>
      </w:pPr>
      <w:r>
        <w:t xml:space="preserve">Le norme generali di semplificazione della </w:t>
      </w:r>
      <w:r w:rsidR="0019710E">
        <w:t>L</w:t>
      </w:r>
      <w:r>
        <w:t xml:space="preserve">. n. 124/2015 adoperano sei volte il verbo </w:t>
      </w:r>
      <w:r w:rsidR="00616C51">
        <w:t>“</w:t>
      </w:r>
      <w:r>
        <w:t>individuare</w:t>
      </w:r>
      <w:r w:rsidR="00616C51">
        <w:t>”</w:t>
      </w:r>
      <w:r>
        <w:t xml:space="preserve">, due volte il verbo </w:t>
      </w:r>
      <w:r w:rsidR="00616C51">
        <w:t>“</w:t>
      </w:r>
      <w:r>
        <w:t>identificare</w:t>
      </w:r>
      <w:r w:rsidR="00616C51">
        <w:t>”</w:t>
      </w:r>
      <w:r>
        <w:t xml:space="preserve">, altre due volte il verbo </w:t>
      </w:r>
      <w:r w:rsidR="00616C51">
        <w:t>“</w:t>
      </w:r>
      <w:r>
        <w:t>precisare</w:t>
      </w:r>
      <w:r w:rsidR="00616C51">
        <w:t>”</w:t>
      </w:r>
      <w:r>
        <w:t>. Nella valutazione del legislatore del 2015, quindi, la semplificazione dei processi decisionali richiede un impegno intenso di specificazione di norme vigenti, da compiersi attraverso altre norme. Per comprendere meglio i contenuti e le ragioni di queste scelte conviene prendere in considerazione i due articoli nei quali l’uso dei verbi indicati è più diffuso: il 5 e il 21.</w:t>
      </w:r>
    </w:p>
    <w:p w:rsidR="001833A2" w:rsidRDefault="001833A2" w:rsidP="001833A2">
      <w:pPr>
        <w:pStyle w:val="TESTOCOMM"/>
      </w:pPr>
      <w:r>
        <w:t xml:space="preserve">L’art. 5 delega il governo alla </w:t>
      </w:r>
      <w:r w:rsidR="00616C51">
        <w:t>“</w:t>
      </w:r>
      <w:r>
        <w:t xml:space="preserve">precisa individuazione dei procedimenti oggetto di segnalazione certificata di inizio attività o di silenzio assenso, ai sensi degli </w:t>
      </w:r>
      <w:r w:rsidR="00ED18BB">
        <w:t xml:space="preserve">artt. </w:t>
      </w:r>
      <w:r>
        <w:t xml:space="preserve">19 e 20 della </w:t>
      </w:r>
      <w:r w:rsidR="008332E3">
        <w:t xml:space="preserve">L. </w:t>
      </w:r>
      <w:r>
        <w:t>7 agosto 1990, n. 241, nonché di quelli per i quali è necessaria l’autorizzazione espressa e di quelli per i quali è sufficiente una comunicazione preventiva</w:t>
      </w:r>
      <w:r w:rsidR="00616C51">
        <w:t>”</w:t>
      </w:r>
      <w:r>
        <w:t xml:space="preserve">. Come noto, infatti, gli artt. 19 e 20, </w:t>
      </w:r>
      <w:r w:rsidR="008332E3">
        <w:t>L</w:t>
      </w:r>
      <w:r>
        <w:t xml:space="preserve">. n. 241/1990, definiscono in termini generali le fattispecie alle quali applicare, rispettivamente, il regime della SCIA e quello del silenzio assenso. Lo stesso art. 20, poi, tra i casi di esclusione del silenzio assenso, con prescrizione altrettanto generale, annovera quelli in cui </w:t>
      </w:r>
      <w:r w:rsidR="00616C51">
        <w:t>“</w:t>
      </w:r>
      <w:r>
        <w:t>la normativa comunitaria impone l’adozione di provvedimenti amministrativi formali</w:t>
      </w:r>
      <w:r w:rsidR="00616C51">
        <w:t>”</w:t>
      </w:r>
      <w:r>
        <w:t xml:space="preserve">. La </w:t>
      </w:r>
      <w:r w:rsidR="008332E3">
        <w:t>L</w:t>
      </w:r>
      <w:r>
        <w:t xml:space="preserve">. n. 124/2015 non modifica la disciplina sostanziale di questi istituti, ma progetta la definizione puntuale del loro ambito di applicazione. Questo perché la scelta precedentemente compiuta dal legislatore di concedere ampia discrezionalità all’amministrazione per identificare i casi rientranti in questa o quella delle fattispecie richiamate non ha sortito gli effetti attesi, ma ha posto alle amministrazioni numerosi problemi applicativi; esteso la necessità di intervento del giudice amministrativo; ridotto, in definitiva, i benefici di queste norme per i privati. Con la </w:t>
      </w:r>
      <w:r w:rsidR="008332E3">
        <w:t>L</w:t>
      </w:r>
      <w:r>
        <w:t xml:space="preserve">. n. 124/2015, si torna al modello originario della </w:t>
      </w:r>
      <w:r w:rsidR="003B67C9">
        <w:t>L</w:t>
      </w:r>
      <w:r>
        <w:t xml:space="preserve">. n. 241/1990, nel quale, cioè, le fattispecie da sottoporre a silenzio assenso e (nel linguaggio della </w:t>
      </w:r>
      <w:r w:rsidR="003B67C9">
        <w:t xml:space="preserve">L. </w:t>
      </w:r>
      <w:r>
        <w:t>del 1990) denuncia di inizio di attività si dovevano stabilire con norme (allora di rango secondario).</w:t>
      </w:r>
    </w:p>
    <w:p w:rsidR="001833A2" w:rsidRDefault="00616C51" w:rsidP="001833A2">
      <w:pPr>
        <w:pStyle w:val="TESTOCOMM"/>
      </w:pPr>
      <w:r>
        <w:t>“</w:t>
      </w:r>
      <w:r w:rsidR="001833A2">
        <w:t>Al fine di semplificare il sistema normativo e i procedimenti amministrativi e di dare maggiore impulso al processo di attuazione delle leggi</w:t>
      </w:r>
      <w:r>
        <w:t>”</w:t>
      </w:r>
      <w:r w:rsidR="001833A2">
        <w:t xml:space="preserve">, l’art. 21 delega il governo a </w:t>
      </w:r>
      <w:r>
        <w:t>“</w:t>
      </w:r>
      <w:r w:rsidR="001833A2">
        <w:t>individuare, tra le disposizioni di legge che prevedono l’adozione di provvedimenti attuativi, quelle che devono essere modificate al solo fine di favorire l’adozione dei medesimi provvedimenti e apportare le modificazioni necessarie</w:t>
      </w:r>
      <w:r>
        <w:t>”</w:t>
      </w:r>
      <w:r w:rsidR="001833A2">
        <w:t xml:space="preserve"> e a </w:t>
      </w:r>
      <w:r>
        <w:t>“</w:t>
      </w:r>
      <w:r w:rsidR="001833A2">
        <w:t>individuare, fra le disposizioni di legge che prevedono l’adozione di provvedimenti attuativi, quelle per le quali non sussistono più le condizioni per l’adozione dei provvedimenti medesimi e disporne l’abrogazione espressa e specifica</w:t>
      </w:r>
      <w:r>
        <w:t>”</w:t>
      </w:r>
      <w:r w:rsidR="001833A2">
        <w:t xml:space="preserve">. La delega ha per oggetto le leggi adottate dal gennaio 2012 alla data di entrata in vigore della stessa </w:t>
      </w:r>
      <w:r w:rsidR="003B67C9">
        <w:t>L</w:t>
      </w:r>
      <w:r w:rsidR="001833A2">
        <w:t>.</w:t>
      </w:r>
      <w:r w:rsidR="003B67C9">
        <w:t xml:space="preserve"> </w:t>
      </w:r>
      <w:r w:rsidR="001833A2">
        <w:t>n.</w:t>
      </w:r>
      <w:r w:rsidR="003B67C9">
        <w:t xml:space="preserve"> </w:t>
      </w:r>
      <w:r w:rsidR="001833A2">
        <w:t>124/2015.</w:t>
      </w:r>
    </w:p>
    <w:p w:rsidR="001833A2" w:rsidRDefault="001833A2" w:rsidP="001833A2">
      <w:pPr>
        <w:pStyle w:val="TESTOCOMM"/>
      </w:pPr>
      <w:r>
        <w:t xml:space="preserve">Questa norma si comprende meglio se si tiene presente il dibattito avviato dal Rapporto Giarda su </w:t>
      </w:r>
      <w:r w:rsidR="00616C51">
        <w:t>“</w:t>
      </w:r>
      <w:r>
        <w:t>il monitoraggio dei provvedimenti di attuazione delle leggi approvate durante il governo Monti</w:t>
      </w:r>
      <w:r w:rsidR="00616C51">
        <w:t>”</w:t>
      </w:r>
      <w:r>
        <w:t xml:space="preserve"> (febbraio 2013)</w:t>
      </w:r>
      <w:r w:rsidR="003A4BE6" w:rsidRPr="003A4BE6">
        <w:rPr>
          <w:rStyle w:val="Rimandonotaapidipagina"/>
        </w:rPr>
        <w:footnoteReference w:id="5"/>
      </w:r>
      <w:r>
        <w:t xml:space="preserve">. Il Rapporto segnalava, tra l’altro, l’elevato numero di provvedimenti attuativi previsti dalle leggi di quegli anni; il grande ritardo con il quale la maggior parte di essi era adottata; la conseguenza che generalmente l’amministrazione </w:t>
      </w:r>
      <w:r w:rsidR="00616C51">
        <w:t>“</w:t>
      </w:r>
      <w:r>
        <w:t>nei primi anni di governo risulta essere sottoposta ad impegno rilevante per dare seguito agli adempimenti amministrativi lasciati in eredità dai precedenti governi</w:t>
      </w:r>
      <w:r w:rsidR="00616C51">
        <w:t>”</w:t>
      </w:r>
      <w:r>
        <w:t xml:space="preserve">. Il tema è stato ripreso successivamente nel documento conclusivo della indagine conoscitiva della commissione parlamentare per la semplificazione del marzo 2014: </w:t>
      </w:r>
      <w:r w:rsidR="00616C51">
        <w:t>“</w:t>
      </w:r>
      <w:r>
        <w:t xml:space="preserve">le responsabilità della ritardata o mancata attuazione delle norme sono indubbiamente condivise tra Parlamento e Governo: le norme non </w:t>
      </w:r>
      <w:proofErr w:type="spellStart"/>
      <w:r>
        <w:t>autoapplicative</w:t>
      </w:r>
      <w:proofErr w:type="spellEnd"/>
      <w:r>
        <w:t xml:space="preserve">, che rinviano a successivi adempimenti, possono infatti derivare o dalla incapacità di arrivare a una sintesi politica ovvero dalla volontà di esplicitare un semplice intento (le cosiddette </w:t>
      </w:r>
      <w:r w:rsidR="00616C51">
        <w:t>“</w:t>
      </w:r>
      <w:r>
        <w:t>norme manifesto</w:t>
      </w:r>
      <w:r w:rsidR="00616C51">
        <w:t>”</w:t>
      </w:r>
      <w:r>
        <w:t>)</w:t>
      </w:r>
      <w:r w:rsidR="00616C51">
        <w:t>”</w:t>
      </w:r>
      <w:r w:rsidR="003A4BE6" w:rsidRPr="003A4BE6">
        <w:rPr>
          <w:rStyle w:val="Rimandonotaapidipagina"/>
        </w:rPr>
        <w:footnoteReference w:id="6"/>
      </w:r>
      <w:r>
        <w:t>. Le dimensioni del fenomeno, pur essendosi notevolmente ridotte nell’ultimo anno, sono ancora consistenti: i provvedimenti da adottare per dare attuazione a leggi precedenti erano 889 il 22 febbraio 2014, sono 263 alla data del 19 agosto 2015</w:t>
      </w:r>
      <w:r w:rsidR="003A4BE6" w:rsidRPr="003A4BE6">
        <w:rPr>
          <w:rStyle w:val="Rimandonotaapidipagina"/>
        </w:rPr>
        <w:footnoteReference w:id="7"/>
      </w:r>
      <w:r>
        <w:t>.</w:t>
      </w:r>
    </w:p>
    <w:p w:rsidR="001833A2" w:rsidRDefault="001833A2" w:rsidP="001833A2">
      <w:pPr>
        <w:pStyle w:val="TESTOCOMM"/>
      </w:pPr>
      <w:r>
        <w:lastRenderedPageBreak/>
        <w:t xml:space="preserve">Letto in questo contesto, si possono connettere all’art. 21, </w:t>
      </w:r>
      <w:r w:rsidR="003B67C9">
        <w:t>L</w:t>
      </w:r>
      <w:r>
        <w:t xml:space="preserve">. n. 124/2015 una pluralità di scopi: quello di risolvere il problema contingente del numero elevato di leggi dell’ultimo triennio non attuate o attuate con grande ritardo; quello di fornire un indirizzo per la legislazione successiva, a favore della espansione delle norme </w:t>
      </w:r>
      <w:proofErr w:type="spellStart"/>
      <w:r>
        <w:t>autoapplicative</w:t>
      </w:r>
      <w:proofErr w:type="spellEnd"/>
      <w:r>
        <w:t xml:space="preserve"> e della riduzione, in generale, del numero e della complessità degli adempimenti attuativi; quello, che più direttamente interessa, di porre rimedio ai fallimenti dell’amministrazione.</w:t>
      </w:r>
    </w:p>
    <w:p w:rsidR="001833A2" w:rsidRDefault="001833A2" w:rsidP="001833A2">
      <w:pPr>
        <w:pStyle w:val="TESTOCOMM"/>
      </w:pPr>
      <w:r>
        <w:t xml:space="preserve">Un presupposto comune, quindi, regge gli artt. 5 e 21: la semplificazione dei procedimenti amministrativi ha maggiori possibilità di successo se si riduce la discrezionalità dell’amministrazione nell’interpretazione e nell’attuazione delle norme relative. Il legislatore che </w:t>
      </w:r>
      <w:r w:rsidR="00616C51">
        <w:t>“</w:t>
      </w:r>
      <w:r>
        <w:t>precisa</w:t>
      </w:r>
      <w:r w:rsidR="00616C51">
        <w:t>”</w:t>
      </w:r>
      <w:r>
        <w:t xml:space="preserve">, </w:t>
      </w:r>
      <w:r w:rsidR="00616C51">
        <w:t>“</w:t>
      </w:r>
      <w:r>
        <w:t>identifica</w:t>
      </w:r>
      <w:r w:rsidR="00616C51">
        <w:t>”</w:t>
      </w:r>
      <w:r>
        <w:t xml:space="preserve">, </w:t>
      </w:r>
      <w:r w:rsidR="00616C51">
        <w:t>“</w:t>
      </w:r>
      <w:r>
        <w:t>individua</w:t>
      </w:r>
      <w:r w:rsidR="00616C51">
        <w:t>”</w:t>
      </w:r>
      <w:r>
        <w:t xml:space="preserve"> si sostituisce a uffici timidi o incapaci; circoscrive, conseguentemente, i margini di intervento del giudice; attribuisce all’apparato di governo della politica di semplificazione poteri di regolamentazione puntuale per dare certezza ed effettività alle norme di legge.</w:t>
      </w:r>
    </w:p>
    <w:p w:rsidR="001833A2" w:rsidRDefault="001833A2" w:rsidP="001833A2">
      <w:pPr>
        <w:pStyle w:val="TIT1"/>
      </w:pPr>
      <w:r>
        <w:t>Conclusioni</w:t>
      </w:r>
    </w:p>
    <w:p w:rsidR="001833A2" w:rsidRDefault="001833A2" w:rsidP="001833A2">
      <w:pPr>
        <w:pStyle w:val="TESTOCOMM"/>
      </w:pPr>
      <w:r>
        <w:t xml:space="preserve">Un buon disegno, quindi, quello delle norme generali di semplificazione della </w:t>
      </w:r>
      <w:r w:rsidR="003B67C9">
        <w:t>L</w:t>
      </w:r>
      <w:r>
        <w:t>. n.</w:t>
      </w:r>
      <w:r w:rsidR="003B67C9">
        <w:t xml:space="preserve"> </w:t>
      </w:r>
      <w:r>
        <w:t>124/2015. Non si prevedono trasformazioni radicali dell’apparato esistente delle norme di semplificazione, ma il rafforzamento di modelli utilizzati nel passato, la correzione delle loro distorsioni, i rimedi al fallimenti dell’attuazione. Non si procede per modifiche interstiziali, ma si progetta la revisione della disciplina di interi istituti. Si traccia un disegno ambizioso, la realizzazione del quale, però, è affidata a una serie di interventi chirurgici sui principali nodi che hanno ostacolato il successo delle politiche di semplificazione.</w:t>
      </w:r>
    </w:p>
    <w:p w:rsidR="001833A2" w:rsidRDefault="001833A2" w:rsidP="001833A2">
      <w:pPr>
        <w:pStyle w:val="TESTOCOMM"/>
      </w:pPr>
      <w:r>
        <w:t>Per giudicare compiutamente questo disegno occorre pazientare: non è sufficiente attendere le norme attuative previste per i dodici mesi successivi all’entrata in vigore della legge, ma anche, e soprattutto, l’applicazione delle stesse negli anni a seguire.</w:t>
      </w:r>
    </w:p>
    <w:p w:rsidR="00355962" w:rsidRPr="000A1E07" w:rsidRDefault="001833A2" w:rsidP="00744AAC">
      <w:pPr>
        <w:pStyle w:val="TESTOCOMM"/>
      </w:pPr>
      <w:r>
        <w:t>Come al solito, un buon inizio equivale solo a metà dell’opera.</w:t>
      </w:r>
    </w:p>
    <w:sectPr w:rsidR="00355962" w:rsidRPr="000A1E07" w:rsidSect="00BF734F">
      <w:type w:val="continuous"/>
      <w:pgSz w:w="11906" w:h="16838" w:code="9"/>
      <w:pgMar w:top="1418" w:right="964" w:bottom="1418" w:left="964" w:header="567" w:footer="56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6F5B" w:rsidRDefault="009C6F5B">
      <w:r>
        <w:separator/>
      </w:r>
    </w:p>
  </w:endnote>
  <w:endnote w:type="continuationSeparator" w:id="0">
    <w:p w:rsidR="009C6F5B" w:rsidRDefault="009C6F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Calisto MT">
    <w:panose1 w:val="0204060305050503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6F5B" w:rsidRDefault="009C6F5B">
      <w:r>
        <w:separator/>
      </w:r>
    </w:p>
  </w:footnote>
  <w:footnote w:type="continuationSeparator" w:id="0">
    <w:p w:rsidR="009C6F5B" w:rsidRDefault="009C6F5B">
      <w:r>
        <w:continuationSeparator/>
      </w:r>
    </w:p>
  </w:footnote>
  <w:footnote w:id="1">
    <w:p w:rsidR="003A4BE6" w:rsidRPr="00A508E6" w:rsidRDefault="003A4BE6" w:rsidP="00A508E6">
      <w:pPr>
        <w:pStyle w:val="TN"/>
        <w:rPr>
          <w:szCs w:val="17"/>
        </w:rPr>
      </w:pPr>
      <w:r w:rsidRPr="003A4BE6">
        <w:rPr>
          <w:rStyle w:val="Rimandonotaapidipagina"/>
        </w:rPr>
        <w:footnoteRef/>
      </w:r>
      <w:r w:rsidRPr="00A508E6">
        <w:rPr>
          <w:szCs w:val="17"/>
        </w:rPr>
        <w:t xml:space="preserve"> Si veda G. Vesperini, </w:t>
      </w:r>
      <w:r w:rsidRPr="006F36AD">
        <w:rPr>
          <w:i/>
          <w:szCs w:val="17"/>
        </w:rPr>
        <w:t>La semplificazione, politica comune</w:t>
      </w:r>
      <w:r w:rsidRPr="00A508E6">
        <w:rPr>
          <w:szCs w:val="17"/>
        </w:rPr>
        <w:t xml:space="preserve">, in questa </w:t>
      </w:r>
      <w:r w:rsidRPr="006F36AD">
        <w:rPr>
          <w:i/>
          <w:szCs w:val="17"/>
        </w:rPr>
        <w:t>Rivista</w:t>
      </w:r>
      <w:r w:rsidRPr="00A508E6">
        <w:rPr>
          <w:szCs w:val="17"/>
        </w:rPr>
        <w:t>, 2014, 11, 1019.</w:t>
      </w:r>
    </w:p>
  </w:footnote>
  <w:footnote w:id="2">
    <w:p w:rsidR="003A4BE6" w:rsidRPr="00A508E6" w:rsidRDefault="003A4BE6" w:rsidP="00A508E6">
      <w:pPr>
        <w:pStyle w:val="TN"/>
        <w:rPr>
          <w:szCs w:val="17"/>
        </w:rPr>
      </w:pPr>
      <w:r w:rsidRPr="003A4BE6">
        <w:rPr>
          <w:rStyle w:val="Rimandonotaapidipagina"/>
        </w:rPr>
        <w:footnoteRef/>
      </w:r>
      <w:r w:rsidRPr="00A508E6">
        <w:rPr>
          <w:szCs w:val="17"/>
        </w:rPr>
        <w:t xml:space="preserve"> G. Corso</w:t>
      </w:r>
      <w:r>
        <w:rPr>
          <w:szCs w:val="17"/>
        </w:rPr>
        <w:t xml:space="preserve"> -</w:t>
      </w:r>
      <w:r w:rsidRPr="00A508E6">
        <w:rPr>
          <w:szCs w:val="17"/>
        </w:rPr>
        <w:t xml:space="preserve"> F. </w:t>
      </w:r>
      <w:proofErr w:type="spellStart"/>
      <w:r w:rsidRPr="00A508E6">
        <w:rPr>
          <w:szCs w:val="17"/>
        </w:rPr>
        <w:t>Teresi</w:t>
      </w:r>
      <w:proofErr w:type="spellEnd"/>
      <w:r w:rsidRPr="00A508E6">
        <w:rPr>
          <w:szCs w:val="17"/>
        </w:rPr>
        <w:t xml:space="preserve">, </w:t>
      </w:r>
      <w:r w:rsidRPr="006F36AD">
        <w:rPr>
          <w:i/>
          <w:szCs w:val="17"/>
        </w:rPr>
        <w:t>Procedimento amministrativo e accesso ai documenti. Commento alla legge 7 agosto 1990 n.</w:t>
      </w:r>
      <w:r>
        <w:rPr>
          <w:i/>
          <w:szCs w:val="17"/>
        </w:rPr>
        <w:t xml:space="preserve"> </w:t>
      </w:r>
      <w:r w:rsidRPr="006F36AD">
        <w:rPr>
          <w:i/>
          <w:szCs w:val="17"/>
        </w:rPr>
        <w:t>241</w:t>
      </w:r>
      <w:r w:rsidRPr="00A508E6">
        <w:rPr>
          <w:szCs w:val="17"/>
        </w:rPr>
        <w:t xml:space="preserve">, Rimini, 1991, 108. </w:t>
      </w:r>
    </w:p>
  </w:footnote>
  <w:footnote w:id="3">
    <w:p w:rsidR="003A4BE6" w:rsidRPr="00A508E6" w:rsidRDefault="003A4BE6" w:rsidP="00A508E6">
      <w:pPr>
        <w:pStyle w:val="TN"/>
        <w:rPr>
          <w:szCs w:val="17"/>
        </w:rPr>
      </w:pPr>
      <w:r w:rsidRPr="003A4BE6">
        <w:rPr>
          <w:rStyle w:val="Rimandonotaapidipagina"/>
        </w:rPr>
        <w:footnoteRef/>
      </w:r>
      <w:r w:rsidRPr="00A508E6">
        <w:rPr>
          <w:szCs w:val="17"/>
        </w:rPr>
        <w:t xml:space="preserve"> Per gli esiti della consultazione si veda </w:t>
      </w:r>
      <w:r w:rsidRPr="006F36AD">
        <w:rPr>
          <w:i/>
          <w:szCs w:val="17"/>
        </w:rPr>
        <w:t>http://www.funzionepubblica.gov.it/TestoPDF.aspx?d=33326</w:t>
      </w:r>
      <w:r w:rsidRPr="00A508E6">
        <w:rPr>
          <w:szCs w:val="17"/>
        </w:rPr>
        <w:t>.</w:t>
      </w:r>
    </w:p>
  </w:footnote>
  <w:footnote w:id="4">
    <w:p w:rsidR="003A4BE6" w:rsidRPr="00A508E6" w:rsidRDefault="003A4BE6" w:rsidP="00A508E6">
      <w:pPr>
        <w:pStyle w:val="TN"/>
        <w:rPr>
          <w:szCs w:val="17"/>
        </w:rPr>
      </w:pPr>
      <w:r w:rsidRPr="003A4BE6">
        <w:rPr>
          <w:rStyle w:val="Rimandonotaapidipagina"/>
        </w:rPr>
        <w:footnoteRef/>
      </w:r>
      <w:r w:rsidRPr="00A508E6">
        <w:rPr>
          <w:szCs w:val="17"/>
        </w:rPr>
        <w:t xml:space="preserve"> REF ricerche, </w:t>
      </w:r>
      <w:r w:rsidRPr="006F36AD">
        <w:rPr>
          <w:i/>
          <w:szCs w:val="17"/>
        </w:rPr>
        <w:t>Iter autorizzativi e semplificazione: la conferenza dei servizi</w:t>
      </w:r>
      <w:r w:rsidRPr="00A508E6">
        <w:rPr>
          <w:szCs w:val="17"/>
        </w:rPr>
        <w:t>, giugno 2015.</w:t>
      </w:r>
    </w:p>
  </w:footnote>
  <w:footnote w:id="5">
    <w:p w:rsidR="003A4BE6" w:rsidRPr="00A508E6" w:rsidRDefault="003A4BE6" w:rsidP="00A508E6">
      <w:pPr>
        <w:pStyle w:val="TN"/>
        <w:rPr>
          <w:szCs w:val="17"/>
        </w:rPr>
      </w:pPr>
      <w:r w:rsidRPr="003A4BE6">
        <w:rPr>
          <w:rStyle w:val="Rimandonotaapidipagina"/>
        </w:rPr>
        <w:footnoteRef/>
      </w:r>
      <w:r w:rsidRPr="00A508E6">
        <w:rPr>
          <w:szCs w:val="17"/>
        </w:rPr>
        <w:t xml:space="preserve"> Si può leggere al seguente link. </w:t>
      </w:r>
      <w:r w:rsidRPr="006F36AD">
        <w:rPr>
          <w:i/>
          <w:szCs w:val="17"/>
        </w:rPr>
        <w:t>http://www.governo.it/Presidenza/ufficio_statistica/documenti/rapporto_amministrativo.pdf</w:t>
      </w:r>
      <w:r w:rsidRPr="00A508E6">
        <w:rPr>
          <w:szCs w:val="17"/>
        </w:rPr>
        <w:t>. Il brano citato di seguito, nel testo, si trova a p.</w:t>
      </w:r>
      <w:r w:rsidR="006F36AD">
        <w:rPr>
          <w:szCs w:val="17"/>
        </w:rPr>
        <w:t xml:space="preserve"> </w:t>
      </w:r>
      <w:r w:rsidRPr="00A508E6">
        <w:rPr>
          <w:szCs w:val="17"/>
        </w:rPr>
        <w:t>8 del documento.</w:t>
      </w:r>
    </w:p>
  </w:footnote>
  <w:footnote w:id="6">
    <w:p w:rsidR="003A4BE6" w:rsidRPr="00A508E6" w:rsidRDefault="003A4BE6" w:rsidP="00A508E6">
      <w:pPr>
        <w:pStyle w:val="TN"/>
        <w:rPr>
          <w:szCs w:val="17"/>
        </w:rPr>
      </w:pPr>
      <w:r w:rsidRPr="003A4BE6">
        <w:rPr>
          <w:rStyle w:val="Rimandonotaapidipagina"/>
        </w:rPr>
        <w:footnoteRef/>
      </w:r>
      <w:r w:rsidRPr="00A508E6">
        <w:rPr>
          <w:szCs w:val="17"/>
        </w:rPr>
        <w:t xml:space="preserve"> Il rapporto conclusivo si trova al seguente indirizzo </w:t>
      </w:r>
      <w:r w:rsidRPr="006F36AD">
        <w:rPr>
          <w:i/>
          <w:szCs w:val="17"/>
        </w:rPr>
        <w:t>http://www.camera.it/application/xmanager/projects/leg17/attachments/shadow_mostra/file_pdfs/000/023/949/</w:t>
      </w:r>
      <w:r w:rsidRPr="003B67C9">
        <w:rPr>
          <w:i/>
          <w:szCs w:val="17"/>
        </w:rPr>
        <w:t>documento_conclusivo_31_03_2014.pdf</w:t>
      </w:r>
      <w:r w:rsidRPr="00A508E6">
        <w:rPr>
          <w:szCs w:val="17"/>
        </w:rPr>
        <w:t xml:space="preserve">. </w:t>
      </w:r>
    </w:p>
  </w:footnote>
  <w:footnote w:id="7">
    <w:p w:rsidR="003A4BE6" w:rsidRPr="00A508E6" w:rsidRDefault="003A4BE6" w:rsidP="00A508E6">
      <w:pPr>
        <w:pStyle w:val="TN"/>
        <w:rPr>
          <w:szCs w:val="17"/>
        </w:rPr>
      </w:pPr>
      <w:r w:rsidRPr="003A4BE6">
        <w:rPr>
          <w:rStyle w:val="Rimandonotaapidipagina"/>
        </w:rPr>
        <w:footnoteRef/>
      </w:r>
      <w:r w:rsidRPr="00A508E6">
        <w:rPr>
          <w:szCs w:val="17"/>
        </w:rPr>
        <w:t xml:space="preserve"> Dati aggiornati si trovano al seguente link: </w:t>
      </w:r>
      <w:r w:rsidRPr="006F36AD">
        <w:rPr>
          <w:i/>
          <w:szCs w:val="17"/>
        </w:rPr>
        <w:t>http://www.programmagoverno.gov.it</w:t>
      </w:r>
      <w:r w:rsidRPr="00A508E6">
        <w:rPr>
          <w:szCs w:val="17"/>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FE20AF1C"/>
    <w:lvl w:ilvl="0">
      <w:start w:val="1"/>
      <w:numFmt w:val="bullet"/>
      <w:pStyle w:val="Puntoelenco"/>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8"/>
  <w:autoHyphenation/>
  <w:hyphenationZone w:val="142"/>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3E6"/>
    <w:rsid w:val="000259CA"/>
    <w:rsid w:val="00027738"/>
    <w:rsid w:val="00040373"/>
    <w:rsid w:val="00040737"/>
    <w:rsid w:val="00044859"/>
    <w:rsid w:val="000518EF"/>
    <w:rsid w:val="000564E3"/>
    <w:rsid w:val="0006167B"/>
    <w:rsid w:val="000647F5"/>
    <w:rsid w:val="00064F95"/>
    <w:rsid w:val="00071C53"/>
    <w:rsid w:val="00074BCD"/>
    <w:rsid w:val="00074D81"/>
    <w:rsid w:val="00075572"/>
    <w:rsid w:val="00080539"/>
    <w:rsid w:val="000A1E07"/>
    <w:rsid w:val="000A6785"/>
    <w:rsid w:val="000B0CE6"/>
    <w:rsid w:val="000D2155"/>
    <w:rsid w:val="000F2E6D"/>
    <w:rsid w:val="00101643"/>
    <w:rsid w:val="001075AC"/>
    <w:rsid w:val="00121CF5"/>
    <w:rsid w:val="00136DF4"/>
    <w:rsid w:val="00137944"/>
    <w:rsid w:val="001451D7"/>
    <w:rsid w:val="001548A8"/>
    <w:rsid w:val="00156AAF"/>
    <w:rsid w:val="00167F1F"/>
    <w:rsid w:val="001833A2"/>
    <w:rsid w:val="00186EF2"/>
    <w:rsid w:val="0019630D"/>
    <w:rsid w:val="0019710E"/>
    <w:rsid w:val="001A52E5"/>
    <w:rsid w:val="001A58CF"/>
    <w:rsid w:val="001C5FC5"/>
    <w:rsid w:val="001D2306"/>
    <w:rsid w:val="001D6572"/>
    <w:rsid w:val="002121E5"/>
    <w:rsid w:val="0022659C"/>
    <w:rsid w:val="00246A03"/>
    <w:rsid w:val="0026593A"/>
    <w:rsid w:val="00267A7D"/>
    <w:rsid w:val="00271377"/>
    <w:rsid w:val="00272EA5"/>
    <w:rsid w:val="00284FB0"/>
    <w:rsid w:val="00293B90"/>
    <w:rsid w:val="002A699C"/>
    <w:rsid w:val="002B2D5D"/>
    <w:rsid w:val="002D2D96"/>
    <w:rsid w:val="002F508B"/>
    <w:rsid w:val="002F6A02"/>
    <w:rsid w:val="0031044A"/>
    <w:rsid w:val="00322299"/>
    <w:rsid w:val="003311B7"/>
    <w:rsid w:val="003325A9"/>
    <w:rsid w:val="003338D7"/>
    <w:rsid w:val="00345A1D"/>
    <w:rsid w:val="00355962"/>
    <w:rsid w:val="00357662"/>
    <w:rsid w:val="00373031"/>
    <w:rsid w:val="003A4BE6"/>
    <w:rsid w:val="003B13F3"/>
    <w:rsid w:val="003B67C9"/>
    <w:rsid w:val="003D159A"/>
    <w:rsid w:val="00413BCD"/>
    <w:rsid w:val="00416F12"/>
    <w:rsid w:val="00433A57"/>
    <w:rsid w:val="004340F5"/>
    <w:rsid w:val="00466109"/>
    <w:rsid w:val="004C3D40"/>
    <w:rsid w:val="004D7E49"/>
    <w:rsid w:val="004E22CA"/>
    <w:rsid w:val="004E6BEC"/>
    <w:rsid w:val="004F7B67"/>
    <w:rsid w:val="0050052E"/>
    <w:rsid w:val="0051707A"/>
    <w:rsid w:val="00527800"/>
    <w:rsid w:val="005541B8"/>
    <w:rsid w:val="005615D5"/>
    <w:rsid w:val="00570EF8"/>
    <w:rsid w:val="00580AC8"/>
    <w:rsid w:val="0058514E"/>
    <w:rsid w:val="00592458"/>
    <w:rsid w:val="005B7BB3"/>
    <w:rsid w:val="005D070E"/>
    <w:rsid w:val="005D5B9E"/>
    <w:rsid w:val="005E0C15"/>
    <w:rsid w:val="0060562E"/>
    <w:rsid w:val="00606C38"/>
    <w:rsid w:val="00616C51"/>
    <w:rsid w:val="00621A5C"/>
    <w:rsid w:val="00654AA0"/>
    <w:rsid w:val="00657EF7"/>
    <w:rsid w:val="0066619E"/>
    <w:rsid w:val="006803EC"/>
    <w:rsid w:val="0068377D"/>
    <w:rsid w:val="006966ED"/>
    <w:rsid w:val="006A4BCD"/>
    <w:rsid w:val="006E1EC8"/>
    <w:rsid w:val="006E3345"/>
    <w:rsid w:val="006F2B36"/>
    <w:rsid w:val="006F36AD"/>
    <w:rsid w:val="00711EEF"/>
    <w:rsid w:val="00724ABA"/>
    <w:rsid w:val="00725C06"/>
    <w:rsid w:val="007372BF"/>
    <w:rsid w:val="00743E9D"/>
    <w:rsid w:val="00744AAC"/>
    <w:rsid w:val="00747DCB"/>
    <w:rsid w:val="007725A0"/>
    <w:rsid w:val="007764E4"/>
    <w:rsid w:val="007839A2"/>
    <w:rsid w:val="007C4ECD"/>
    <w:rsid w:val="007C6102"/>
    <w:rsid w:val="007E3ECE"/>
    <w:rsid w:val="00803929"/>
    <w:rsid w:val="00806732"/>
    <w:rsid w:val="00817363"/>
    <w:rsid w:val="008332E3"/>
    <w:rsid w:val="00836380"/>
    <w:rsid w:val="0085205A"/>
    <w:rsid w:val="0086566A"/>
    <w:rsid w:val="008901D3"/>
    <w:rsid w:val="008A1036"/>
    <w:rsid w:val="008B486C"/>
    <w:rsid w:val="008C250D"/>
    <w:rsid w:val="008C5470"/>
    <w:rsid w:val="008C6997"/>
    <w:rsid w:val="008D16EB"/>
    <w:rsid w:val="008E6821"/>
    <w:rsid w:val="008F746B"/>
    <w:rsid w:val="00902CBA"/>
    <w:rsid w:val="00905E89"/>
    <w:rsid w:val="00917984"/>
    <w:rsid w:val="009251DD"/>
    <w:rsid w:val="00977C3C"/>
    <w:rsid w:val="00986188"/>
    <w:rsid w:val="00986E65"/>
    <w:rsid w:val="00995582"/>
    <w:rsid w:val="009A5E8D"/>
    <w:rsid w:val="009B2449"/>
    <w:rsid w:val="009C4C8C"/>
    <w:rsid w:val="009C6F5B"/>
    <w:rsid w:val="009C70A5"/>
    <w:rsid w:val="009F6EF6"/>
    <w:rsid w:val="00A02D98"/>
    <w:rsid w:val="00A249FA"/>
    <w:rsid w:val="00A43A22"/>
    <w:rsid w:val="00A508E6"/>
    <w:rsid w:val="00A53CB1"/>
    <w:rsid w:val="00A66BAF"/>
    <w:rsid w:val="00A874C4"/>
    <w:rsid w:val="00A92EFA"/>
    <w:rsid w:val="00A96380"/>
    <w:rsid w:val="00AA2D9B"/>
    <w:rsid w:val="00AC6132"/>
    <w:rsid w:val="00AD7B17"/>
    <w:rsid w:val="00AE33E6"/>
    <w:rsid w:val="00AE520C"/>
    <w:rsid w:val="00AF2BFB"/>
    <w:rsid w:val="00B025AB"/>
    <w:rsid w:val="00B271D3"/>
    <w:rsid w:val="00B30664"/>
    <w:rsid w:val="00B41606"/>
    <w:rsid w:val="00B65CE9"/>
    <w:rsid w:val="00B804B8"/>
    <w:rsid w:val="00B95FBA"/>
    <w:rsid w:val="00B973CC"/>
    <w:rsid w:val="00BC1D6E"/>
    <w:rsid w:val="00BD7C2A"/>
    <w:rsid w:val="00BD7C59"/>
    <w:rsid w:val="00BE0E78"/>
    <w:rsid w:val="00C03537"/>
    <w:rsid w:val="00C062EC"/>
    <w:rsid w:val="00C40382"/>
    <w:rsid w:val="00C502F6"/>
    <w:rsid w:val="00C53225"/>
    <w:rsid w:val="00C72D13"/>
    <w:rsid w:val="00C778F9"/>
    <w:rsid w:val="00C817E5"/>
    <w:rsid w:val="00CA00B3"/>
    <w:rsid w:val="00CA7F7C"/>
    <w:rsid w:val="00CB04FF"/>
    <w:rsid w:val="00CD4420"/>
    <w:rsid w:val="00CE67E9"/>
    <w:rsid w:val="00CF6133"/>
    <w:rsid w:val="00D109E1"/>
    <w:rsid w:val="00D12A6B"/>
    <w:rsid w:val="00D13D63"/>
    <w:rsid w:val="00D23F1F"/>
    <w:rsid w:val="00D33D21"/>
    <w:rsid w:val="00D366AF"/>
    <w:rsid w:val="00D3758A"/>
    <w:rsid w:val="00D44864"/>
    <w:rsid w:val="00D45560"/>
    <w:rsid w:val="00D55E7E"/>
    <w:rsid w:val="00D560C4"/>
    <w:rsid w:val="00D56DAD"/>
    <w:rsid w:val="00D64882"/>
    <w:rsid w:val="00D64FB9"/>
    <w:rsid w:val="00D74171"/>
    <w:rsid w:val="00D964B1"/>
    <w:rsid w:val="00DA1CCD"/>
    <w:rsid w:val="00DB7682"/>
    <w:rsid w:val="00DC3883"/>
    <w:rsid w:val="00DD2AF6"/>
    <w:rsid w:val="00DE50FE"/>
    <w:rsid w:val="00DF09EC"/>
    <w:rsid w:val="00E30A8B"/>
    <w:rsid w:val="00E31C68"/>
    <w:rsid w:val="00E57E16"/>
    <w:rsid w:val="00E66991"/>
    <w:rsid w:val="00E66AFD"/>
    <w:rsid w:val="00E70873"/>
    <w:rsid w:val="00E72622"/>
    <w:rsid w:val="00E75068"/>
    <w:rsid w:val="00E85053"/>
    <w:rsid w:val="00E926DA"/>
    <w:rsid w:val="00EA2249"/>
    <w:rsid w:val="00EC5CF0"/>
    <w:rsid w:val="00ED1308"/>
    <w:rsid w:val="00ED18BB"/>
    <w:rsid w:val="00ED747A"/>
    <w:rsid w:val="00EE0DA0"/>
    <w:rsid w:val="00EE1CFF"/>
    <w:rsid w:val="00EF2A00"/>
    <w:rsid w:val="00EF4327"/>
    <w:rsid w:val="00F003DC"/>
    <w:rsid w:val="00F06608"/>
    <w:rsid w:val="00F14C13"/>
    <w:rsid w:val="00F168EB"/>
    <w:rsid w:val="00F32B11"/>
    <w:rsid w:val="00F32EFA"/>
    <w:rsid w:val="00F351B7"/>
    <w:rsid w:val="00F3557E"/>
    <w:rsid w:val="00F44AE0"/>
    <w:rsid w:val="00F53C2A"/>
    <w:rsid w:val="00F56EEC"/>
    <w:rsid w:val="00F80712"/>
    <w:rsid w:val="00F80E47"/>
    <w:rsid w:val="00F810F3"/>
    <w:rsid w:val="00F834DD"/>
    <w:rsid w:val="00FB0F41"/>
    <w:rsid w:val="00FB1BCB"/>
    <w:rsid w:val="00FB46EB"/>
    <w:rsid w:val="00FB6DE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EDD6C0F-C69D-41AE-ACE0-EF8988D15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widowControl w:val="0"/>
      <w:overflowPunct w:val="0"/>
      <w:autoSpaceDE w:val="0"/>
      <w:autoSpaceDN w:val="0"/>
      <w:adjustRightInd w:val="0"/>
      <w:textAlignment w:val="baseline"/>
    </w:pPr>
    <w:rPr>
      <w:sz w:val="22"/>
    </w:rPr>
  </w:style>
  <w:style w:type="paragraph" w:styleId="Titolo1">
    <w:name w:val="heading 1"/>
    <w:basedOn w:val="Normale"/>
    <w:next w:val="Normale"/>
    <w:link w:val="Titolo1Carattere"/>
    <w:uiPriority w:val="9"/>
    <w:qFormat/>
    <w:pPr>
      <w:keepNext/>
      <w:spacing w:before="240" w:after="60"/>
      <w:outlineLvl w:val="0"/>
    </w:pPr>
    <w:rPr>
      <w:rFonts w:ascii="Arial" w:hAnsi="Arial" w:cs="Arial"/>
      <w:b/>
      <w:bCs/>
      <w:kern w:val="32"/>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Rimandonotaapidipagina">
    <w:name w:val="footnote reference"/>
    <w:rsid w:val="004340F5"/>
    <w:rPr>
      <w:rFonts w:ascii="Times New Roman" w:hAnsi="Times New Roman"/>
      <w:sz w:val="22"/>
      <w:vertAlign w:val="superscript"/>
    </w:rPr>
  </w:style>
  <w:style w:type="paragraph" w:customStyle="1" w:styleId="Rsigla">
    <w:name w:val="R_sigla"/>
    <w:basedOn w:val="Normale"/>
    <w:uiPriority w:val="99"/>
    <w:rsid w:val="004340F5"/>
    <w:pPr>
      <w:overflowPunct/>
      <w:spacing w:line="240" w:lineRule="exact"/>
      <w:jc w:val="both"/>
      <w:textAlignment w:val="auto"/>
    </w:pPr>
    <w:rPr>
      <w:rFonts w:ascii="Arial" w:hAnsi="Arial"/>
      <w:color w:val="000000"/>
      <w:sz w:val="20"/>
      <w:szCs w:val="22"/>
      <w:lang w:val="en-US"/>
    </w:rPr>
  </w:style>
  <w:style w:type="paragraph" w:customStyle="1" w:styleId="Rvoce">
    <w:name w:val="R_voce"/>
    <w:basedOn w:val="Normale"/>
    <w:uiPriority w:val="99"/>
    <w:rsid w:val="004340F5"/>
    <w:pPr>
      <w:overflowPunct/>
      <w:spacing w:line="240" w:lineRule="exact"/>
      <w:jc w:val="both"/>
      <w:textAlignment w:val="auto"/>
    </w:pPr>
    <w:rPr>
      <w:rFonts w:ascii="Arial" w:hAnsi="Arial"/>
      <w:color w:val="000000"/>
      <w:sz w:val="20"/>
      <w:szCs w:val="22"/>
      <w:lang w:val="en-US"/>
    </w:rPr>
  </w:style>
  <w:style w:type="paragraph" w:customStyle="1" w:styleId="Rarea">
    <w:name w:val="R_area"/>
    <w:basedOn w:val="Normale"/>
    <w:uiPriority w:val="99"/>
    <w:rsid w:val="004340F5"/>
    <w:pPr>
      <w:overflowPunct/>
      <w:spacing w:line="240" w:lineRule="exact"/>
      <w:jc w:val="both"/>
      <w:textAlignment w:val="auto"/>
    </w:pPr>
    <w:rPr>
      <w:rFonts w:ascii="Arial" w:hAnsi="Arial"/>
      <w:color w:val="000000"/>
      <w:sz w:val="20"/>
      <w:szCs w:val="22"/>
      <w:lang w:val="en-US"/>
    </w:rPr>
  </w:style>
  <w:style w:type="paragraph" w:customStyle="1" w:styleId="Rabs">
    <w:name w:val="R_abs"/>
    <w:basedOn w:val="Normale"/>
    <w:uiPriority w:val="99"/>
    <w:rsid w:val="004340F5"/>
    <w:pPr>
      <w:overflowPunct/>
      <w:spacing w:line="240" w:lineRule="exact"/>
      <w:jc w:val="both"/>
      <w:textAlignment w:val="auto"/>
    </w:pPr>
    <w:rPr>
      <w:rFonts w:ascii="Arial" w:hAnsi="Arial"/>
      <w:color w:val="000000"/>
      <w:sz w:val="20"/>
      <w:szCs w:val="22"/>
      <w:lang w:val="en-US"/>
    </w:rPr>
  </w:style>
  <w:style w:type="paragraph" w:customStyle="1" w:styleId="Rtest">
    <w:name w:val="R_test"/>
    <w:uiPriority w:val="99"/>
    <w:rsid w:val="004340F5"/>
    <w:pPr>
      <w:spacing w:line="240" w:lineRule="exact"/>
    </w:pPr>
    <w:rPr>
      <w:rFonts w:ascii="Arial" w:hAnsi="Arial"/>
    </w:rPr>
  </w:style>
  <w:style w:type="paragraph" w:styleId="Intestazione">
    <w:name w:val="header"/>
    <w:basedOn w:val="Normale"/>
    <w:link w:val="IntestazioneCarattere"/>
    <w:uiPriority w:val="99"/>
    <w:pPr>
      <w:tabs>
        <w:tab w:val="center" w:pos="4819"/>
        <w:tab w:val="right" w:pos="9638"/>
      </w:tabs>
    </w:pPr>
  </w:style>
  <w:style w:type="character" w:customStyle="1" w:styleId="IntestazioneCarattere">
    <w:name w:val="Intestazione Carattere"/>
    <w:link w:val="Intestazione"/>
    <w:uiPriority w:val="99"/>
    <w:locked/>
    <w:rsid w:val="002F6A02"/>
    <w:rPr>
      <w:sz w:val="22"/>
      <w:lang w:val="it-IT" w:eastAsia="it-IT" w:bidi="ar-SA"/>
    </w:rPr>
  </w:style>
  <w:style w:type="character" w:styleId="Numeropagina">
    <w:name w:val="page number"/>
    <w:basedOn w:val="Carpredefinitoparagrafo"/>
    <w:rsid w:val="00725C06"/>
  </w:style>
  <w:style w:type="paragraph" w:styleId="Testonotaapidipagina">
    <w:name w:val="footnote text"/>
    <w:basedOn w:val="Normale"/>
    <w:link w:val="TestonotaapidipaginaCarattere"/>
    <w:rsid w:val="00C778F9"/>
    <w:rPr>
      <w:sz w:val="20"/>
    </w:rPr>
  </w:style>
  <w:style w:type="paragraph" w:customStyle="1" w:styleId="ABS">
    <w:name w:val="ABS"/>
    <w:basedOn w:val="Normale"/>
    <w:rsid w:val="00080539"/>
    <w:pPr>
      <w:widowControl/>
      <w:pBdr>
        <w:top w:val="single" w:sz="18" w:space="4" w:color="808080"/>
        <w:bottom w:val="single" w:sz="18" w:space="4" w:color="808080"/>
      </w:pBdr>
      <w:overflowPunct/>
      <w:autoSpaceDE/>
      <w:autoSpaceDN/>
      <w:adjustRightInd/>
      <w:spacing w:after="480" w:line="230" w:lineRule="exact"/>
      <w:contextualSpacing/>
      <w:jc w:val="both"/>
      <w:textAlignment w:val="auto"/>
    </w:pPr>
    <w:rPr>
      <w:rFonts w:ascii="Arial" w:hAnsi="Arial" w:cs="Arial"/>
      <w:sz w:val="21"/>
    </w:rPr>
  </w:style>
  <w:style w:type="paragraph" w:customStyle="1" w:styleId="OCCH">
    <w:name w:val="OCCH"/>
    <w:basedOn w:val="Normale"/>
    <w:next w:val="Normale"/>
    <w:uiPriority w:val="99"/>
    <w:rsid w:val="00CF6133"/>
    <w:pPr>
      <w:overflowPunct/>
      <w:spacing w:before="240" w:line="280" w:lineRule="exact"/>
      <w:textAlignment w:val="auto"/>
    </w:pPr>
    <w:rPr>
      <w:rFonts w:ascii="Arial" w:hAnsi="Arial" w:cs="Arial"/>
      <w:bCs/>
      <w:sz w:val="28"/>
      <w:szCs w:val="22"/>
      <w:u w:val="single"/>
    </w:rPr>
  </w:style>
  <w:style w:type="paragraph" w:customStyle="1" w:styleId="TIT">
    <w:name w:val="TIT"/>
    <w:basedOn w:val="Titolo1"/>
    <w:uiPriority w:val="99"/>
    <w:rsid w:val="00CF6133"/>
    <w:pPr>
      <w:overflowPunct/>
      <w:spacing w:after="360" w:line="680" w:lineRule="exact"/>
      <w:textAlignment w:val="auto"/>
      <w:outlineLvl w:val="9"/>
    </w:pPr>
    <w:rPr>
      <w:b w:val="0"/>
      <w:noProof/>
      <w:kern w:val="28"/>
      <w:sz w:val="68"/>
      <w:szCs w:val="28"/>
    </w:rPr>
  </w:style>
  <w:style w:type="paragraph" w:customStyle="1" w:styleId="SN">
    <w:name w:val="SN"/>
    <w:basedOn w:val="Normale"/>
    <w:rsid w:val="00CF6133"/>
    <w:pPr>
      <w:overflowPunct/>
      <w:spacing w:line="190" w:lineRule="exact"/>
      <w:jc w:val="both"/>
      <w:textAlignment w:val="auto"/>
    </w:pPr>
    <w:rPr>
      <w:rFonts w:ascii="Arial" w:hAnsi="Arial" w:cs="Arial"/>
      <w:sz w:val="17"/>
    </w:rPr>
  </w:style>
  <w:style w:type="paragraph" w:customStyle="1" w:styleId="TN">
    <w:name w:val="TN"/>
    <w:uiPriority w:val="99"/>
    <w:rsid w:val="00CF6133"/>
    <w:pPr>
      <w:widowControl w:val="0"/>
      <w:autoSpaceDE w:val="0"/>
      <w:autoSpaceDN w:val="0"/>
      <w:adjustRightInd w:val="0"/>
      <w:spacing w:before="100" w:line="190" w:lineRule="exact"/>
      <w:jc w:val="both"/>
    </w:pPr>
    <w:rPr>
      <w:rFonts w:ascii="Arial" w:hAnsi="Arial" w:cs="Arial"/>
      <w:sz w:val="17"/>
    </w:rPr>
  </w:style>
  <w:style w:type="paragraph" w:customStyle="1" w:styleId="ESTREMO">
    <w:name w:val="ESTREMO"/>
    <w:uiPriority w:val="99"/>
    <w:rsid w:val="00136DF4"/>
    <w:pPr>
      <w:spacing w:before="360" w:line="240" w:lineRule="exact"/>
    </w:pPr>
    <w:rPr>
      <w:rFonts w:ascii="Arial" w:hAnsi="Arial"/>
      <w:noProof/>
      <w:sz w:val="22"/>
    </w:rPr>
  </w:style>
  <w:style w:type="paragraph" w:customStyle="1" w:styleId="EPIGRAFE">
    <w:name w:val="EPIGRAFE"/>
    <w:rsid w:val="00A02D98"/>
    <w:pPr>
      <w:spacing w:before="220" w:line="240" w:lineRule="exact"/>
    </w:pPr>
    <w:rPr>
      <w:rFonts w:ascii="Arial" w:hAnsi="Arial"/>
      <w:bCs/>
      <w:noProof/>
      <w:sz w:val="19"/>
    </w:rPr>
  </w:style>
  <w:style w:type="paragraph" w:customStyle="1" w:styleId="TITPROVV1">
    <w:name w:val="TITPROVV1"/>
    <w:uiPriority w:val="99"/>
    <w:rsid w:val="00136DF4"/>
    <w:pPr>
      <w:overflowPunct w:val="0"/>
      <w:autoSpaceDE w:val="0"/>
      <w:autoSpaceDN w:val="0"/>
      <w:adjustRightInd w:val="0"/>
      <w:spacing w:before="230" w:after="100" w:line="230" w:lineRule="exact"/>
      <w:jc w:val="center"/>
      <w:textAlignment w:val="baseline"/>
    </w:pPr>
    <w:rPr>
      <w:noProof/>
      <w:sz w:val="21"/>
    </w:rPr>
  </w:style>
  <w:style w:type="paragraph" w:customStyle="1" w:styleId="TESTO">
    <w:name w:val="TESTO"/>
    <w:basedOn w:val="Normale"/>
    <w:uiPriority w:val="99"/>
    <w:rsid w:val="00136DF4"/>
    <w:pPr>
      <w:widowControl/>
      <w:spacing w:line="230" w:lineRule="exact"/>
      <w:jc w:val="both"/>
    </w:pPr>
    <w:rPr>
      <w:sz w:val="21"/>
    </w:rPr>
  </w:style>
  <w:style w:type="paragraph" w:customStyle="1" w:styleId="AUTORE">
    <w:name w:val="AUTORE"/>
    <w:rsid w:val="00D366AF"/>
    <w:pPr>
      <w:widowControl w:val="0"/>
      <w:autoSpaceDE w:val="0"/>
      <w:autoSpaceDN w:val="0"/>
      <w:adjustRightInd w:val="0"/>
      <w:spacing w:after="240" w:line="280" w:lineRule="exact"/>
      <w:jc w:val="center"/>
    </w:pPr>
    <w:rPr>
      <w:rFonts w:ascii="Arial" w:hAnsi="Arial"/>
      <w:iCs/>
      <w:noProof/>
      <w:sz w:val="28"/>
    </w:rPr>
  </w:style>
  <w:style w:type="paragraph" w:customStyle="1" w:styleId="TITCOMM">
    <w:name w:val="TITCOMM"/>
    <w:basedOn w:val="Normale"/>
    <w:rsid w:val="00CF6133"/>
    <w:pPr>
      <w:overflowPunct/>
      <w:spacing w:before="480" w:line="320" w:lineRule="exact"/>
      <w:jc w:val="center"/>
      <w:textAlignment w:val="auto"/>
    </w:pPr>
    <w:rPr>
      <w:rFonts w:ascii="Arial" w:hAnsi="Arial" w:cs="Arial"/>
      <w:b/>
      <w:bCs/>
      <w:iCs/>
      <w:sz w:val="32"/>
    </w:rPr>
  </w:style>
  <w:style w:type="paragraph" w:customStyle="1" w:styleId="TIT1">
    <w:name w:val="TIT1"/>
    <w:basedOn w:val="Normale"/>
    <w:rsid w:val="004E6BEC"/>
    <w:pPr>
      <w:overflowPunct/>
      <w:spacing w:before="240" w:after="120" w:line="260" w:lineRule="exact"/>
      <w:textAlignment w:val="auto"/>
    </w:pPr>
    <w:rPr>
      <w:rFonts w:ascii="Arial" w:hAnsi="Arial" w:cs="Arial"/>
      <w:b/>
      <w:bCs/>
      <w:noProof/>
      <w:sz w:val="23"/>
      <w:szCs w:val="24"/>
    </w:rPr>
  </w:style>
  <w:style w:type="paragraph" w:customStyle="1" w:styleId="TIT2">
    <w:name w:val="TIT2"/>
    <w:basedOn w:val="TIT1"/>
    <w:rsid w:val="004E6BEC"/>
    <w:pPr>
      <w:widowControl/>
      <w:overflowPunct w:val="0"/>
      <w:textAlignment w:val="baseline"/>
    </w:pPr>
    <w:rPr>
      <w:rFonts w:ascii="Times New Roman" w:hAnsi="Times New Roman" w:cs="Times New Roman"/>
      <w:bCs w:val="0"/>
      <w:i/>
      <w:szCs w:val="20"/>
    </w:rPr>
  </w:style>
  <w:style w:type="paragraph" w:customStyle="1" w:styleId="TESTOTAB">
    <w:name w:val="TESTOTAB"/>
    <w:basedOn w:val="Normale"/>
    <w:rsid w:val="00CF6133"/>
    <w:pPr>
      <w:widowControl/>
      <w:spacing w:line="200" w:lineRule="exact"/>
      <w:jc w:val="both"/>
    </w:pPr>
    <w:rPr>
      <w:rFonts w:ascii="Arial" w:hAnsi="Arial"/>
      <w:sz w:val="18"/>
    </w:rPr>
  </w:style>
  <w:style w:type="paragraph" w:customStyle="1" w:styleId="TESTOCOMM">
    <w:name w:val="TESTOCOMM"/>
    <w:rsid w:val="00284FB0"/>
    <w:pPr>
      <w:autoSpaceDE w:val="0"/>
      <w:autoSpaceDN w:val="0"/>
      <w:adjustRightInd w:val="0"/>
      <w:spacing w:line="260" w:lineRule="exact"/>
      <w:ind w:firstLine="284"/>
      <w:jc w:val="both"/>
    </w:pPr>
    <w:rPr>
      <w:sz w:val="23"/>
    </w:rPr>
  </w:style>
  <w:style w:type="paragraph" w:customStyle="1" w:styleId="RIF">
    <w:name w:val="RIF"/>
    <w:rsid w:val="00272EA5"/>
    <w:pPr>
      <w:spacing w:line="190" w:lineRule="exact"/>
    </w:pPr>
    <w:rPr>
      <w:rFonts w:ascii="Arial" w:hAnsi="Arial"/>
      <w:i/>
      <w:sz w:val="17"/>
    </w:rPr>
  </w:style>
  <w:style w:type="paragraph" w:customStyle="1" w:styleId="IMMAGINE1COL">
    <w:name w:val="IMMAGINE_1_COL"/>
    <w:basedOn w:val="Normale"/>
    <w:rsid w:val="00355962"/>
    <w:pPr>
      <w:widowControl/>
      <w:spacing w:line="200" w:lineRule="exact"/>
      <w:jc w:val="both"/>
      <w:textAlignment w:val="auto"/>
    </w:pPr>
    <w:rPr>
      <w:rFonts w:ascii="Arial" w:hAnsi="Arial"/>
      <w:sz w:val="18"/>
    </w:rPr>
  </w:style>
  <w:style w:type="paragraph" w:customStyle="1" w:styleId="TIT9">
    <w:name w:val="TIT9"/>
    <w:rsid w:val="001548A8"/>
    <w:pPr>
      <w:spacing w:before="240" w:after="60" w:line="220" w:lineRule="exact"/>
    </w:pPr>
    <w:rPr>
      <w:rFonts w:ascii="Arial" w:hAnsi="Arial"/>
      <w:b/>
      <w:noProof/>
    </w:rPr>
  </w:style>
  <w:style w:type="paragraph" w:customStyle="1" w:styleId="NOTATAB">
    <w:name w:val="NOTATAB"/>
    <w:rsid w:val="001548A8"/>
    <w:pPr>
      <w:spacing w:line="190" w:lineRule="exact"/>
      <w:jc w:val="both"/>
    </w:pPr>
    <w:rPr>
      <w:rFonts w:ascii="Arial" w:hAnsi="Arial"/>
      <w:sz w:val="17"/>
    </w:rPr>
  </w:style>
  <w:style w:type="paragraph" w:customStyle="1" w:styleId="TESTATAB">
    <w:name w:val="TESTATAB"/>
    <w:basedOn w:val="TESTOTAB"/>
    <w:rsid w:val="001548A8"/>
    <w:pPr>
      <w:shd w:val="clear" w:color="auto" w:fill="CCCCCC"/>
      <w:jc w:val="center"/>
    </w:pPr>
    <w:rPr>
      <w:b/>
    </w:rPr>
  </w:style>
  <w:style w:type="paragraph" w:customStyle="1" w:styleId="TITPROVV2">
    <w:name w:val="TITPROVV2"/>
    <w:basedOn w:val="Normale"/>
    <w:rsid w:val="00D366AF"/>
    <w:pPr>
      <w:widowControl/>
      <w:spacing w:before="120" w:after="60"/>
    </w:pPr>
    <w:rPr>
      <w:b/>
      <w:noProof/>
      <w:sz w:val="21"/>
    </w:rPr>
  </w:style>
  <w:style w:type="paragraph" w:customStyle="1" w:styleId="TITPROVV3">
    <w:name w:val="TITPROVV3"/>
    <w:basedOn w:val="Normale"/>
    <w:rsid w:val="00D366AF"/>
    <w:pPr>
      <w:widowControl/>
      <w:spacing w:before="120" w:after="60"/>
    </w:pPr>
    <w:rPr>
      <w:b/>
      <w:i/>
      <w:noProof/>
      <w:sz w:val="21"/>
    </w:rPr>
  </w:style>
  <w:style w:type="paragraph" w:customStyle="1" w:styleId="TITPROVV4">
    <w:name w:val="TITPROVV4"/>
    <w:basedOn w:val="Normale"/>
    <w:rsid w:val="009A5E8D"/>
    <w:pPr>
      <w:widowControl/>
      <w:spacing w:before="120"/>
    </w:pPr>
    <w:rPr>
      <w:noProof/>
      <w:sz w:val="21"/>
    </w:rPr>
  </w:style>
  <w:style w:type="paragraph" w:customStyle="1" w:styleId="MASSIMA">
    <w:name w:val="MASSIMA"/>
    <w:basedOn w:val="Normale"/>
    <w:rsid w:val="0058514E"/>
    <w:pPr>
      <w:spacing w:before="230" w:line="230" w:lineRule="exact"/>
      <w:jc w:val="both"/>
    </w:pPr>
    <w:rPr>
      <w:rFonts w:ascii="Arial" w:hAnsi="Arial"/>
      <w:b/>
      <w:sz w:val="19"/>
    </w:rPr>
  </w:style>
  <w:style w:type="paragraph" w:customStyle="1" w:styleId="ARGOMENTI">
    <w:name w:val="ARGOMENTI"/>
    <w:basedOn w:val="Normale"/>
    <w:rsid w:val="0058514E"/>
    <w:pPr>
      <w:spacing w:before="230" w:line="230" w:lineRule="exact"/>
      <w:jc w:val="both"/>
    </w:pPr>
    <w:rPr>
      <w:rFonts w:ascii="Arial" w:hAnsi="Arial"/>
      <w:i/>
      <w:sz w:val="19"/>
    </w:rPr>
  </w:style>
  <w:style w:type="paragraph" w:customStyle="1" w:styleId="RLOG">
    <w:name w:val="R_LOG"/>
    <w:basedOn w:val="Rvoce"/>
    <w:uiPriority w:val="99"/>
    <w:rsid w:val="00156AAF"/>
    <w:rPr>
      <w:lang w:val="it-IT"/>
    </w:rPr>
  </w:style>
  <w:style w:type="paragraph" w:customStyle="1" w:styleId="RRIV">
    <w:name w:val="R_RIV"/>
    <w:basedOn w:val="RLOG"/>
    <w:uiPriority w:val="99"/>
    <w:rsid w:val="00156AAF"/>
  </w:style>
  <w:style w:type="paragraph" w:customStyle="1" w:styleId="ART">
    <w:name w:val="ART"/>
    <w:uiPriority w:val="99"/>
    <w:rsid w:val="00D964B1"/>
    <w:pPr>
      <w:overflowPunct w:val="0"/>
      <w:autoSpaceDE w:val="0"/>
      <w:autoSpaceDN w:val="0"/>
      <w:adjustRightInd w:val="0"/>
      <w:spacing w:before="120"/>
      <w:jc w:val="center"/>
      <w:textAlignment w:val="baseline"/>
    </w:pPr>
    <w:rPr>
      <w:noProof/>
    </w:rPr>
  </w:style>
  <w:style w:type="character" w:customStyle="1" w:styleId="TestonotaapidipaginaCarattere">
    <w:name w:val="Testo nota a piè di pagina Carattere"/>
    <w:link w:val="Testonotaapidipagina"/>
    <w:uiPriority w:val="99"/>
    <w:rsid w:val="00744AAC"/>
  </w:style>
  <w:style w:type="paragraph" w:customStyle="1" w:styleId="SART">
    <w:name w:val="SART"/>
    <w:basedOn w:val="ART"/>
    <w:uiPriority w:val="99"/>
    <w:rsid w:val="00D964B1"/>
    <w:pPr>
      <w:spacing w:before="0"/>
    </w:pPr>
    <w:rPr>
      <w:i/>
    </w:rPr>
  </w:style>
  <w:style w:type="paragraph" w:customStyle="1" w:styleId="TESTOE">
    <w:name w:val="TESTOE"/>
    <w:basedOn w:val="TESTOTAB"/>
    <w:rsid w:val="00F14C13"/>
    <w:pPr>
      <w:widowControl w:val="0"/>
      <w:spacing w:line="270" w:lineRule="exact"/>
    </w:pPr>
    <w:rPr>
      <w:i/>
      <w:sz w:val="21"/>
    </w:rPr>
  </w:style>
  <w:style w:type="paragraph" w:customStyle="1" w:styleId="TIT3">
    <w:name w:val="TIT3"/>
    <w:basedOn w:val="TIT2"/>
    <w:rsid w:val="00271377"/>
    <w:rPr>
      <w:b w:val="0"/>
    </w:rPr>
  </w:style>
  <w:style w:type="paragraph" w:customStyle="1" w:styleId="TIT4">
    <w:name w:val="TIT4"/>
    <w:basedOn w:val="TIT2"/>
    <w:rsid w:val="00271377"/>
    <w:rPr>
      <w:b w:val="0"/>
      <w:i w:val="0"/>
    </w:rPr>
  </w:style>
  <w:style w:type="paragraph" w:customStyle="1" w:styleId="FIRMA">
    <w:name w:val="FIRMA"/>
    <w:basedOn w:val="TESTOCOMM"/>
    <w:qFormat/>
    <w:rsid w:val="0086566A"/>
    <w:pPr>
      <w:spacing w:before="120"/>
      <w:ind w:firstLine="0"/>
      <w:jc w:val="right"/>
    </w:pPr>
    <w:rPr>
      <w:i/>
    </w:rPr>
  </w:style>
  <w:style w:type="paragraph" w:customStyle="1" w:styleId="Rsottosezione">
    <w:name w:val="R_sottosezione"/>
    <w:basedOn w:val="Rtest"/>
    <w:qFormat/>
    <w:rsid w:val="00803929"/>
  </w:style>
  <w:style w:type="table" w:styleId="Grigliatabella">
    <w:name w:val="Table Grid"/>
    <w:basedOn w:val="Tabellanormale"/>
    <w:rsid w:val="002F6A02"/>
    <w:pPr>
      <w:widowControl w:val="0"/>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STO-DOC">
    <w:name w:val="TESTO-DOC"/>
    <w:basedOn w:val="Normale"/>
    <w:rsid w:val="002F6A02"/>
    <w:pPr>
      <w:widowControl/>
      <w:spacing w:line="230" w:lineRule="exact"/>
      <w:jc w:val="both"/>
    </w:pPr>
    <w:rPr>
      <w:sz w:val="21"/>
    </w:rPr>
  </w:style>
  <w:style w:type="paragraph" w:customStyle="1" w:styleId="SOTTO-TITCOMM">
    <w:name w:val="SOTTO-TITCOMM"/>
    <w:basedOn w:val="Normale"/>
    <w:qFormat/>
    <w:rsid w:val="00ED747A"/>
    <w:pPr>
      <w:pBdr>
        <w:top w:val="single" w:sz="12" w:space="1" w:color="auto"/>
        <w:bottom w:val="single" w:sz="12" w:space="1" w:color="auto"/>
      </w:pBdr>
      <w:overflowPunct/>
      <w:spacing w:before="480" w:line="320" w:lineRule="exact"/>
      <w:textAlignment w:val="auto"/>
    </w:pPr>
    <w:rPr>
      <w:rFonts w:ascii="Arial" w:hAnsi="Arial" w:cs="Arial"/>
      <w:b/>
      <w:bCs/>
      <w:iCs/>
      <w:sz w:val="24"/>
    </w:rPr>
  </w:style>
  <w:style w:type="paragraph" w:customStyle="1" w:styleId="IMMAGINE2COL">
    <w:name w:val="IMMAGINE_2_COL"/>
    <w:basedOn w:val="IMMAGINE1COL"/>
    <w:qFormat/>
    <w:rsid w:val="00355962"/>
  </w:style>
  <w:style w:type="paragraph" w:customStyle="1" w:styleId="TITPROVV">
    <w:name w:val="TITPROVV"/>
    <w:rsid w:val="00074BCD"/>
    <w:pPr>
      <w:spacing w:before="220" w:line="240" w:lineRule="exact"/>
    </w:pPr>
    <w:rPr>
      <w:rFonts w:ascii="Arial" w:hAnsi="Arial"/>
      <w:bCs/>
      <w:noProof/>
      <w:sz w:val="19"/>
    </w:rPr>
  </w:style>
  <w:style w:type="character" w:customStyle="1" w:styleId="Titolo1Carattere">
    <w:name w:val="Titolo 1 Carattere"/>
    <w:link w:val="Titolo1"/>
    <w:uiPriority w:val="9"/>
    <w:rsid w:val="00744AAC"/>
    <w:rPr>
      <w:rFonts w:ascii="Arial" w:hAnsi="Arial" w:cs="Arial"/>
      <w:b/>
      <w:bCs/>
      <w:kern w:val="32"/>
      <w:sz w:val="32"/>
      <w:szCs w:val="32"/>
    </w:rPr>
  </w:style>
  <w:style w:type="paragraph" w:styleId="Pidipagina">
    <w:name w:val="footer"/>
    <w:basedOn w:val="Normale"/>
    <w:link w:val="PidipaginaCarattere"/>
    <w:uiPriority w:val="99"/>
    <w:rsid w:val="009C4C8C"/>
    <w:pPr>
      <w:tabs>
        <w:tab w:val="center" w:pos="4819"/>
        <w:tab w:val="right" w:pos="9638"/>
      </w:tabs>
    </w:pPr>
  </w:style>
  <w:style w:type="character" w:customStyle="1" w:styleId="PidipaginaCarattere">
    <w:name w:val="Piè di pagina Carattere"/>
    <w:link w:val="Pidipagina"/>
    <w:uiPriority w:val="99"/>
    <w:rsid w:val="009C4C8C"/>
    <w:rPr>
      <w:sz w:val="22"/>
    </w:rPr>
  </w:style>
  <w:style w:type="paragraph" w:styleId="Sottotitolo">
    <w:name w:val="Subtitle"/>
    <w:basedOn w:val="Normale"/>
    <w:next w:val="Normale"/>
    <w:link w:val="SottotitoloCarattere"/>
    <w:uiPriority w:val="11"/>
    <w:qFormat/>
    <w:rsid w:val="00744AAC"/>
    <w:pPr>
      <w:widowControl/>
      <w:numPr>
        <w:ilvl w:val="1"/>
      </w:numPr>
      <w:pBdr>
        <w:bottom w:val="dotted" w:sz="4" w:space="1" w:color="auto"/>
      </w:pBdr>
      <w:overflowPunct/>
      <w:autoSpaceDE/>
      <w:autoSpaceDN/>
      <w:adjustRightInd/>
      <w:spacing w:after="480" w:line="276" w:lineRule="auto"/>
      <w:ind w:firstLine="567"/>
      <w:jc w:val="both"/>
      <w:textAlignment w:val="auto"/>
    </w:pPr>
    <w:rPr>
      <w:rFonts w:ascii="Calibri" w:eastAsia="MS Mincho" w:hAnsi="Calibri"/>
      <w:color w:val="5A5A5A"/>
      <w:spacing w:val="15"/>
      <w:szCs w:val="22"/>
      <w:lang w:eastAsia="en-US"/>
    </w:rPr>
  </w:style>
  <w:style w:type="character" w:customStyle="1" w:styleId="SottotitoloCarattere">
    <w:name w:val="Sottotitolo Carattere"/>
    <w:link w:val="Sottotitolo"/>
    <w:uiPriority w:val="11"/>
    <w:rsid w:val="00744AAC"/>
    <w:rPr>
      <w:rFonts w:ascii="Calibri" w:eastAsia="MS Mincho" w:hAnsi="Calibri"/>
      <w:color w:val="5A5A5A"/>
      <w:spacing w:val="15"/>
      <w:sz w:val="22"/>
      <w:szCs w:val="22"/>
      <w:lang w:eastAsia="en-US"/>
    </w:rPr>
  </w:style>
  <w:style w:type="paragraph" w:styleId="PreformattatoHTML">
    <w:name w:val="HTML Preformatted"/>
    <w:basedOn w:val="Normale"/>
    <w:link w:val="PreformattatoHTMLCarattere"/>
    <w:uiPriority w:val="99"/>
    <w:unhideWhenUsed/>
    <w:rsid w:val="00744AA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rPr>
  </w:style>
  <w:style w:type="character" w:customStyle="1" w:styleId="PreformattatoHTMLCarattere">
    <w:name w:val="Preformattato HTML Carattere"/>
    <w:link w:val="PreformattatoHTML"/>
    <w:uiPriority w:val="99"/>
    <w:rsid w:val="00744AAC"/>
    <w:rPr>
      <w:rFonts w:ascii="Courier New" w:hAnsi="Courier New" w:cs="Courier New"/>
    </w:rPr>
  </w:style>
  <w:style w:type="paragraph" w:styleId="Paragrafoelenco">
    <w:name w:val="List Paragraph"/>
    <w:basedOn w:val="Normale"/>
    <w:uiPriority w:val="34"/>
    <w:qFormat/>
    <w:rsid w:val="00744AAC"/>
    <w:pPr>
      <w:widowControl/>
      <w:overflowPunct/>
      <w:autoSpaceDE/>
      <w:autoSpaceDN/>
      <w:adjustRightInd/>
      <w:spacing w:after="160" w:line="276" w:lineRule="auto"/>
      <w:ind w:left="720" w:firstLine="567"/>
      <w:contextualSpacing/>
      <w:jc w:val="both"/>
      <w:textAlignment w:val="auto"/>
    </w:pPr>
    <w:rPr>
      <w:rFonts w:ascii="Calisto MT" w:eastAsia="Calibri" w:hAnsi="Calisto MT"/>
      <w:sz w:val="24"/>
      <w:szCs w:val="22"/>
      <w:lang w:eastAsia="en-US"/>
    </w:rPr>
  </w:style>
  <w:style w:type="paragraph" w:styleId="Puntoelenco">
    <w:name w:val="List Bullet"/>
    <w:basedOn w:val="Normale"/>
    <w:uiPriority w:val="99"/>
    <w:unhideWhenUsed/>
    <w:rsid w:val="00744AAC"/>
    <w:pPr>
      <w:widowControl/>
      <w:numPr>
        <w:numId w:val="1"/>
      </w:numPr>
      <w:overflowPunct/>
      <w:autoSpaceDE/>
      <w:autoSpaceDN/>
      <w:adjustRightInd/>
      <w:spacing w:after="160" w:line="276" w:lineRule="auto"/>
      <w:contextualSpacing/>
      <w:jc w:val="both"/>
      <w:textAlignment w:val="auto"/>
    </w:pPr>
    <w:rPr>
      <w:rFonts w:ascii="Calisto MT" w:eastAsia="Calibri" w:hAnsi="Calisto MT"/>
      <w:sz w:val="24"/>
      <w:szCs w:val="22"/>
      <w:lang w:eastAsia="en-US"/>
    </w:rPr>
  </w:style>
  <w:style w:type="character" w:styleId="Rimandonotadichiusura">
    <w:name w:val="endnote reference"/>
    <w:uiPriority w:val="99"/>
    <w:unhideWhenUsed/>
    <w:rsid w:val="00744AAC"/>
    <w:rPr>
      <w:vertAlign w:val="superscript"/>
    </w:rPr>
  </w:style>
  <w:style w:type="paragraph" w:styleId="Testofumetto">
    <w:name w:val="Balloon Text"/>
    <w:basedOn w:val="Normale"/>
    <w:link w:val="TestofumettoCarattere"/>
    <w:rsid w:val="001A52E5"/>
    <w:rPr>
      <w:rFonts w:ascii="Tahoma" w:hAnsi="Tahoma" w:cs="Tahoma"/>
      <w:sz w:val="16"/>
      <w:szCs w:val="16"/>
    </w:rPr>
  </w:style>
  <w:style w:type="character" w:customStyle="1" w:styleId="TestofumettoCarattere">
    <w:name w:val="Testo fumetto Carattere"/>
    <w:link w:val="Testofumetto"/>
    <w:rsid w:val="001A52E5"/>
    <w:rPr>
      <w:rFonts w:ascii="Tahoma" w:hAnsi="Tahoma" w:cs="Tahoma"/>
      <w:sz w:val="16"/>
      <w:szCs w:val="16"/>
    </w:rPr>
  </w:style>
  <w:style w:type="character" w:styleId="Collegamentoipertestuale">
    <w:name w:val="Hyperlink"/>
    <w:rsid w:val="001833A2"/>
    <w:rPr>
      <w:color w:val="0000FF"/>
      <w:u w:val="single"/>
    </w:rPr>
  </w:style>
  <w:style w:type="character" w:styleId="Rimandocommento">
    <w:name w:val="annotation reference"/>
    <w:rsid w:val="003B67C9"/>
    <w:rPr>
      <w:sz w:val="16"/>
      <w:szCs w:val="16"/>
    </w:rPr>
  </w:style>
  <w:style w:type="paragraph" w:styleId="Testocommento">
    <w:name w:val="annotation text"/>
    <w:basedOn w:val="Normale"/>
    <w:link w:val="TestocommentoCarattere"/>
    <w:rsid w:val="003B67C9"/>
    <w:rPr>
      <w:sz w:val="20"/>
    </w:rPr>
  </w:style>
  <w:style w:type="character" w:customStyle="1" w:styleId="TestocommentoCarattere">
    <w:name w:val="Testo commento Carattere"/>
    <w:basedOn w:val="Carpredefinitoparagrafo"/>
    <w:link w:val="Testocommento"/>
    <w:rsid w:val="003B67C9"/>
  </w:style>
  <w:style w:type="paragraph" w:styleId="Soggettocommento">
    <w:name w:val="annotation subject"/>
    <w:basedOn w:val="Testocommento"/>
    <w:next w:val="Testocommento"/>
    <w:link w:val="SoggettocommentoCarattere"/>
    <w:rsid w:val="003B67C9"/>
    <w:rPr>
      <w:b/>
      <w:bCs/>
    </w:rPr>
  </w:style>
  <w:style w:type="character" w:customStyle="1" w:styleId="SoggettocommentoCarattere">
    <w:name w:val="Soggetto commento Carattere"/>
    <w:link w:val="Soggettocommento"/>
    <w:rsid w:val="003B67C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1586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E:\simona\02%20IPSOA\01%20Lavori\TUTTO%20RIVISTE\Riviste%20Ipsoa%20Legale\Fogli%20di%20stile\GIUR-NORM-PRA.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F07EF6-AAF5-49EF-A4DA-2A8DE7672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GIUR-NORM-PRA</Template>
  <TotalTime>0</TotalTime>
  <Pages>5</Pages>
  <Words>2966</Words>
  <Characters>17900</Characters>
  <Application>Microsoft Office Word</Application>
  <DocSecurity>0</DocSecurity>
  <Lines>149</Lines>
  <Paragraphs>41</Paragraphs>
  <ScaleCrop>false</ScaleCrop>
  <HeadingPairs>
    <vt:vector size="2" baseType="variant">
      <vt:variant>
        <vt:lpstr>Titolo</vt:lpstr>
      </vt:variant>
      <vt:variant>
        <vt:i4>1</vt:i4>
      </vt:variant>
    </vt:vector>
  </HeadingPairs>
  <TitlesOfParts>
    <vt:vector size="1" baseType="lpstr">
      <vt:lpstr>SOMMARIO</vt:lpstr>
    </vt:vector>
  </TitlesOfParts>
  <Company>ABCompos S.r.l.</Company>
  <LinksUpToDate>false</LinksUpToDate>
  <CharactersWithSpaces>20825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SOMMARIO</dc:title>
  <dc:creator>simona</dc:creator>
  <cp:lastModifiedBy>vesperini</cp:lastModifiedBy>
  <cp:revision>2</cp:revision>
  <cp:lastPrinted>2015-09-29T08:58:00Z</cp:lastPrinted>
  <dcterms:created xsi:type="dcterms:W3CDTF">2015-09-29T12:22:00Z</dcterms:created>
  <dcterms:modified xsi:type="dcterms:W3CDTF">2015-09-29T12:22:00Z</dcterms:modified>
</cp:coreProperties>
</file>